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1BEC11">
      <w:pPr>
        <w:spacing w:line="360" w:lineRule="auto"/>
        <w:jc w:val="center"/>
        <w:outlineLvl w:val="0"/>
        <w:rPr>
          <w:rFonts w:hint="eastAsia" w:asciiTheme="minorEastAsia" w:hAnsiTheme="minorEastAsia" w:eastAsiaTheme="minorEastAsia"/>
          <w:b/>
          <w:color w:val="auto"/>
          <w:sz w:val="28"/>
          <w:highlight w:val="none"/>
        </w:rPr>
      </w:pPr>
      <w:bookmarkStart w:id="0" w:name="_Toc15192"/>
      <w:bookmarkStart w:id="65" w:name="_GoBack"/>
      <w:bookmarkEnd w:id="65"/>
      <w:r>
        <w:rPr>
          <w:rFonts w:hint="eastAsia" w:asciiTheme="minorEastAsia" w:hAnsiTheme="minorEastAsia" w:eastAsiaTheme="minorEastAsia"/>
          <w:b/>
          <w:color w:val="auto"/>
          <w:sz w:val="28"/>
          <w:highlight w:val="none"/>
        </w:rPr>
        <w:t>采购需求</w:t>
      </w:r>
      <w:bookmarkEnd w:id="0"/>
    </w:p>
    <w:p w14:paraId="213C2491">
      <w:pPr>
        <w:spacing w:line="360" w:lineRule="auto"/>
        <w:rPr>
          <w:rFonts w:hint="eastAsia" w:asciiTheme="minorEastAsia" w:hAnsiTheme="minorEastAsia" w:eastAsiaTheme="minorEastAsia"/>
          <w:b/>
          <w:color w:val="auto"/>
          <w:sz w:val="24"/>
          <w:highlight w:val="none"/>
        </w:rPr>
      </w:pPr>
      <w:r>
        <w:rPr>
          <w:rFonts w:hint="eastAsia" w:asciiTheme="minorEastAsia" w:hAnsiTheme="minorEastAsia" w:eastAsiaTheme="minorEastAsia"/>
          <w:b/>
          <w:color w:val="auto"/>
          <w:sz w:val="24"/>
          <w:highlight w:val="none"/>
        </w:rPr>
        <w:t>前注：</w:t>
      </w:r>
    </w:p>
    <w:p w14:paraId="1B5380BB">
      <w:pPr>
        <w:spacing w:line="360" w:lineRule="auto"/>
        <w:ind w:firstLine="435"/>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1.本采购需求中提出的服务方案仅为参考，如无明确限制，供应商可以进行优化，提供满足采购人实际需要的更优（或者性能实质上不低于的）服务方案，且此方案须经磋商小组评审认可。</w:t>
      </w:r>
    </w:p>
    <w:p w14:paraId="6D7E464B">
      <w:pPr>
        <w:spacing w:line="360" w:lineRule="auto"/>
        <w:ind w:firstLine="435"/>
        <w:rPr>
          <w:rFonts w:hint="eastAsia" w:ascii="宋体" w:hAnsi="宋体" w:eastAsia="宋体"/>
          <w:color w:val="auto"/>
          <w:sz w:val="24"/>
          <w:szCs w:val="18"/>
          <w:highlight w:val="none"/>
        </w:rPr>
      </w:pPr>
      <w:r>
        <w:rPr>
          <w:rFonts w:hint="eastAsia" w:ascii="宋体" w:hAnsi="宋体" w:eastAsia="宋体"/>
          <w:color w:val="auto"/>
          <w:sz w:val="24"/>
          <w:szCs w:val="18"/>
          <w:highlight w:val="none"/>
        </w:rPr>
        <w:t>2.下列采购需求中</w:t>
      </w:r>
      <w:r>
        <w:rPr>
          <w:rFonts w:ascii="宋体" w:hAnsi="宋体" w:eastAsia="宋体" w:cs="宋体"/>
          <w:color w:val="auto"/>
          <w:sz w:val="24"/>
          <w:szCs w:val="24"/>
          <w:highlight w:val="none"/>
        </w:rPr>
        <w:t>（包括但不限于下列具体政策要求</w:t>
      </w:r>
      <w:r>
        <w:rPr>
          <w:rFonts w:hint="eastAsia" w:ascii="宋体" w:hAnsi="宋体" w:eastAsia="宋体" w:cs="宋体"/>
          <w:color w:val="auto"/>
          <w:sz w:val="24"/>
          <w:szCs w:val="24"/>
          <w:highlight w:val="none"/>
        </w:rPr>
        <w:t>）</w:t>
      </w:r>
      <w:r>
        <w:rPr>
          <w:rFonts w:hint="eastAsia" w:ascii="宋体" w:hAnsi="宋体" w:eastAsia="宋体"/>
          <w:color w:val="auto"/>
          <w:sz w:val="24"/>
          <w:szCs w:val="18"/>
          <w:highlight w:val="none"/>
        </w:rPr>
        <w:t>：</w:t>
      </w:r>
    </w:p>
    <w:p w14:paraId="205BAC93">
      <w:pPr>
        <w:spacing w:line="360" w:lineRule="auto"/>
        <w:ind w:firstLine="435"/>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如属于《节能产品政府采购品目清单》中政府强制采购的节能产品，则供应商所投产品须具有市场监管总局公布的《参与实施政府采购节能产品认证机构目录》中的认证机构出具的、处于有效期内的节能产品认证证书。</w:t>
      </w:r>
    </w:p>
    <w:p w14:paraId="77F84AA8">
      <w:pPr>
        <w:spacing w:line="360" w:lineRule="auto"/>
        <w:ind w:firstLine="435"/>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依据《环境标志产品政府采购目录》与《节能产品政府采购品目清单》</w:t>
      </w:r>
    </w:p>
    <w:p w14:paraId="0B550546">
      <w:pPr>
        <w:spacing w:line="360" w:lineRule="auto"/>
        <w:ind w:firstLine="435"/>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rPr>
        <w:t>本项目强制采购清单为：</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u w:val="single"/>
          <w:lang w:val="en-US" w:eastAsia="zh-CN"/>
        </w:rPr>
        <w:t>无</w:t>
      </w:r>
      <w:r>
        <w:rPr>
          <w:rFonts w:hint="eastAsia" w:ascii="宋体" w:hAnsi="宋体" w:eastAsia="宋体" w:cs="宋体"/>
          <w:color w:val="auto"/>
          <w:sz w:val="24"/>
          <w:szCs w:val="24"/>
          <w:highlight w:val="none"/>
          <w:u w:val="single"/>
        </w:rPr>
        <w:t xml:space="preserve">        </w:t>
      </w:r>
    </w:p>
    <w:p w14:paraId="57B7F3D1">
      <w:pPr>
        <w:spacing w:line="360" w:lineRule="auto"/>
        <w:ind w:firstLine="435"/>
        <w:rPr>
          <w:rFonts w:hint="eastAsia" w:eastAsia="宋体"/>
          <w:color w:val="auto"/>
          <w:highlight w:val="none"/>
          <w:u w:val="single"/>
        </w:rPr>
      </w:pPr>
      <w:r>
        <w:rPr>
          <w:rFonts w:hint="eastAsia" w:ascii="宋体" w:hAnsi="宋体" w:eastAsia="宋体" w:cs="宋体"/>
          <w:color w:val="auto"/>
          <w:sz w:val="24"/>
          <w:szCs w:val="24"/>
          <w:highlight w:val="none"/>
        </w:rPr>
        <w:t>优先采购清单为：</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u w:val="single"/>
          <w:lang w:val="en-US" w:eastAsia="zh-CN"/>
        </w:rPr>
        <w:t>无</w:t>
      </w:r>
      <w:r>
        <w:rPr>
          <w:rFonts w:hint="eastAsia" w:ascii="宋体" w:hAnsi="宋体" w:eastAsia="宋体" w:cs="宋体"/>
          <w:color w:val="auto"/>
          <w:sz w:val="24"/>
          <w:szCs w:val="24"/>
          <w:highlight w:val="none"/>
          <w:u w:val="single"/>
        </w:rPr>
        <w:t xml:space="preserve">          </w:t>
      </w:r>
    </w:p>
    <w:p w14:paraId="07189097">
      <w:pPr>
        <w:spacing w:line="360" w:lineRule="auto"/>
        <w:ind w:firstLine="435"/>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（2）如涉及商品包装和快递包装，供应商应当执行《关于印发〈商品包装政府采购需求标准（试行）〉、〈快递包装政府采购需求标准（试行）〉的通知》（财办库〔2020〕123 号）、《安徽省财政厅关于贯彻落实政府绿色采购有关政策的通知》（皖财购〔2023〕853号）的要求，提供符合需求标准的绿色包装、绿色运输，同时，采购人将对包装材料和运输环节作为履约验收条款进行验收。</w:t>
      </w:r>
    </w:p>
    <w:p w14:paraId="546F9F03">
      <w:pPr>
        <w:spacing w:line="360" w:lineRule="auto"/>
        <w:ind w:firstLine="435"/>
        <w:rPr>
          <w:rFonts w:hint="eastAsia" w:asciiTheme="minorEastAsia" w:hAnsiTheme="minorEastAsia" w:eastAsiaTheme="minorEastAsia"/>
          <w:color w:val="auto"/>
          <w:sz w:val="24"/>
          <w:highlight w:val="none"/>
        </w:rPr>
      </w:pPr>
      <w:r>
        <w:rPr>
          <w:rFonts w:hint="eastAsia" w:ascii="宋体" w:hAnsi="宋体" w:eastAsia="宋体"/>
          <w:color w:val="auto"/>
          <w:sz w:val="24"/>
          <w:szCs w:val="18"/>
          <w:highlight w:val="none"/>
        </w:rPr>
        <w:t>3.如采购人允许采用分包方式履行合同的，应当明确可以分包履行的相关内容。</w:t>
      </w:r>
    </w:p>
    <w:p w14:paraId="59340BBB">
      <w:pPr>
        <w:spacing w:line="360" w:lineRule="auto"/>
        <w:ind w:firstLine="437"/>
        <w:outlineLvl w:val="1"/>
        <w:rPr>
          <w:rFonts w:hint="eastAsia" w:ascii="宋体" w:hAnsi="宋体" w:eastAsia="宋体"/>
          <w:b/>
          <w:color w:val="auto"/>
          <w:sz w:val="24"/>
          <w:szCs w:val="18"/>
          <w:highlight w:val="none"/>
        </w:rPr>
      </w:pPr>
      <w:bookmarkStart w:id="1" w:name="_Toc698"/>
      <w:bookmarkStart w:id="2" w:name="_Toc7699"/>
      <w:bookmarkStart w:id="3" w:name="_Toc26349"/>
      <w:r>
        <w:rPr>
          <w:rFonts w:hint="eastAsia" w:ascii="宋体" w:hAnsi="宋体" w:eastAsia="宋体"/>
          <w:b/>
          <w:color w:val="auto"/>
          <w:sz w:val="24"/>
          <w:szCs w:val="18"/>
          <w:highlight w:val="none"/>
        </w:rPr>
        <w:t>一、采购需求前附表</w:t>
      </w:r>
      <w:bookmarkEnd w:id="1"/>
      <w:bookmarkEnd w:id="2"/>
      <w:bookmarkEnd w:id="3"/>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6"/>
        <w:gridCol w:w="2032"/>
        <w:gridCol w:w="5484"/>
      </w:tblGrid>
      <w:tr w14:paraId="37CEF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590" w:type="pct"/>
            <w:vAlign w:val="center"/>
          </w:tcPr>
          <w:p w14:paraId="3CB2F660">
            <w:pPr>
              <w:pStyle w:val="6"/>
              <w:pBdr>
                <w:bottom w:val="none" w:color="auto" w:sz="0" w:space="0"/>
              </w:pBdr>
              <w:tabs>
                <w:tab w:val="clear" w:pos="4153"/>
                <w:tab w:val="clear" w:pos="8306"/>
              </w:tabs>
              <w:adjustRightInd/>
              <w:spacing w:line="240" w:lineRule="auto"/>
              <w:textAlignment w:val="auto"/>
              <w:rPr>
                <w:rFonts w:hint="eastAsia" w:ascii="宋体" w:hAnsi="宋体" w:eastAsia="宋体"/>
                <w:b/>
                <w:color w:val="auto"/>
                <w:kern w:val="2"/>
                <w:highlight w:val="none"/>
              </w:rPr>
            </w:pPr>
            <w:r>
              <w:rPr>
                <w:rFonts w:hint="eastAsia" w:ascii="宋体" w:hAnsi="宋体" w:eastAsia="宋体"/>
                <w:b/>
                <w:color w:val="auto"/>
                <w:kern w:val="2"/>
                <w:highlight w:val="none"/>
              </w:rPr>
              <w:t>序号</w:t>
            </w:r>
          </w:p>
        </w:tc>
        <w:tc>
          <w:tcPr>
            <w:tcW w:w="1192" w:type="pct"/>
            <w:vAlign w:val="center"/>
          </w:tcPr>
          <w:p w14:paraId="38A29ADD">
            <w:pPr>
              <w:pStyle w:val="7"/>
              <w:widowControl w:val="0"/>
              <w:spacing w:before="0" w:beforeAutospacing="0" w:after="0" w:afterAutospacing="0" w:line="360" w:lineRule="auto"/>
              <w:rPr>
                <w:rFonts w:hint="eastAsia" w:ascii="宋体" w:hAnsi="宋体" w:eastAsia="宋体"/>
                <w:bCs w:val="0"/>
                <w:color w:val="auto"/>
                <w:sz w:val="24"/>
                <w:highlight w:val="none"/>
              </w:rPr>
            </w:pPr>
            <w:r>
              <w:rPr>
                <w:rFonts w:hint="eastAsia" w:ascii="宋体" w:hAnsi="宋体" w:eastAsia="宋体"/>
                <w:bCs w:val="0"/>
                <w:color w:val="auto"/>
                <w:sz w:val="24"/>
                <w:highlight w:val="none"/>
              </w:rPr>
              <w:t>条款名称</w:t>
            </w:r>
          </w:p>
        </w:tc>
        <w:tc>
          <w:tcPr>
            <w:tcW w:w="3217" w:type="pct"/>
            <w:vAlign w:val="center"/>
          </w:tcPr>
          <w:p w14:paraId="511BEFE5">
            <w:pPr>
              <w:pStyle w:val="7"/>
              <w:widowControl w:val="0"/>
              <w:spacing w:before="0" w:beforeAutospacing="0" w:after="0" w:afterAutospacing="0" w:line="360" w:lineRule="auto"/>
              <w:rPr>
                <w:rFonts w:hint="eastAsia" w:ascii="宋体" w:hAnsi="宋体" w:eastAsia="宋体"/>
                <w:bCs w:val="0"/>
                <w:color w:val="auto"/>
                <w:sz w:val="24"/>
                <w:highlight w:val="none"/>
              </w:rPr>
            </w:pPr>
            <w:r>
              <w:rPr>
                <w:rFonts w:hint="eastAsia" w:ascii="宋体" w:hAnsi="宋体" w:eastAsia="宋体"/>
                <w:bCs w:val="0"/>
                <w:color w:val="auto"/>
                <w:sz w:val="24"/>
                <w:highlight w:val="none"/>
              </w:rPr>
              <w:t>内容、说明与要求</w:t>
            </w:r>
          </w:p>
        </w:tc>
      </w:tr>
      <w:tr w14:paraId="7CA55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590" w:type="pct"/>
            <w:vAlign w:val="center"/>
          </w:tcPr>
          <w:p w14:paraId="19A6D995">
            <w:pPr>
              <w:pStyle w:val="6"/>
              <w:pBdr>
                <w:bottom w:val="none" w:color="auto" w:sz="0" w:space="0"/>
              </w:pBdr>
              <w:tabs>
                <w:tab w:val="clear" w:pos="4153"/>
                <w:tab w:val="clear" w:pos="8306"/>
              </w:tabs>
              <w:adjustRightInd/>
              <w:spacing w:line="240" w:lineRule="auto"/>
              <w:textAlignment w:val="auto"/>
              <w:rPr>
                <w:rFonts w:hint="eastAsia" w:ascii="宋体" w:hAnsi="宋体" w:eastAsia="宋体"/>
                <w:bCs/>
                <w:color w:val="auto"/>
                <w:kern w:val="2"/>
                <w:highlight w:val="none"/>
              </w:rPr>
            </w:pPr>
            <w:r>
              <w:rPr>
                <w:rFonts w:hint="eastAsia" w:ascii="宋体" w:hAnsi="宋体" w:eastAsia="宋体"/>
                <w:bCs/>
                <w:color w:val="auto"/>
                <w:kern w:val="2"/>
                <w:highlight w:val="none"/>
              </w:rPr>
              <w:t>1</w:t>
            </w:r>
          </w:p>
        </w:tc>
        <w:tc>
          <w:tcPr>
            <w:tcW w:w="1192" w:type="pct"/>
            <w:vAlign w:val="center"/>
          </w:tcPr>
          <w:p w14:paraId="30F5EDD7">
            <w:pPr>
              <w:pStyle w:val="7"/>
              <w:widowControl w:val="0"/>
              <w:spacing w:before="0" w:beforeAutospacing="0" w:after="0" w:afterAutospacing="0" w:line="360" w:lineRule="auto"/>
              <w:rPr>
                <w:rFonts w:hint="eastAsia" w:ascii="宋体" w:hAnsi="宋体" w:eastAsia="宋体"/>
                <w:b w:val="0"/>
                <w:color w:val="auto"/>
                <w:sz w:val="24"/>
                <w:highlight w:val="none"/>
              </w:rPr>
            </w:pPr>
            <w:r>
              <w:rPr>
                <w:rFonts w:hint="eastAsia" w:ascii="宋体" w:hAnsi="宋体" w:eastAsia="宋体"/>
                <w:b w:val="0"/>
                <w:color w:val="auto"/>
                <w:sz w:val="24"/>
                <w:highlight w:val="none"/>
              </w:rPr>
              <w:t>付款方式</w:t>
            </w:r>
          </w:p>
        </w:tc>
        <w:tc>
          <w:tcPr>
            <w:tcW w:w="3217" w:type="pct"/>
            <w:vAlign w:val="center"/>
          </w:tcPr>
          <w:p w14:paraId="1551DEE1">
            <w:pPr>
              <w:pStyle w:val="7"/>
              <w:widowControl w:val="0"/>
              <w:numPr>
                <w:ilvl w:val="0"/>
                <w:numId w:val="0"/>
              </w:numPr>
              <w:spacing w:before="0" w:beforeAutospacing="0" w:after="0" w:afterAutospacing="0" w:line="360" w:lineRule="auto"/>
              <w:jc w:val="both"/>
              <w:rPr>
                <w:rFonts w:hint="eastAsia" w:ascii="宋体" w:hAnsi="宋体" w:eastAsia="宋体"/>
                <w:b w:val="0"/>
                <w:color w:val="auto"/>
                <w:sz w:val="24"/>
                <w:highlight w:val="none"/>
                <w:u w:val="none"/>
                <w:lang w:eastAsia="zh-CN"/>
              </w:rPr>
            </w:pPr>
            <w:r>
              <w:rPr>
                <w:rFonts w:hint="eastAsia" w:ascii="宋体" w:hAnsi="宋体" w:eastAsia="宋体" w:cs="@仿宋_GB2312"/>
                <w:b w:val="0"/>
                <w:bCs/>
                <w:color w:val="auto"/>
                <w:kern w:val="0"/>
                <w:sz w:val="24"/>
                <w:szCs w:val="28"/>
                <w:highlight w:val="none"/>
                <w:u w:val="none"/>
                <w:lang w:val="en-US" w:eastAsia="zh-CN" w:bidi="ar-SA"/>
              </w:rPr>
              <w:t>（1）按进度付款，完成总工程量的50%时，支付监理服务费的40%</w:t>
            </w:r>
            <w:r>
              <w:rPr>
                <w:rFonts w:hint="eastAsia" w:ascii="宋体" w:hAnsi="宋体" w:eastAsia="宋体"/>
                <w:b w:val="0"/>
                <w:color w:val="auto"/>
                <w:sz w:val="24"/>
                <w:highlight w:val="none"/>
                <w:u w:val="none"/>
                <w:lang w:eastAsia="zh-CN"/>
              </w:rPr>
              <w:t>；</w:t>
            </w:r>
          </w:p>
          <w:p w14:paraId="6847699B">
            <w:pPr>
              <w:pStyle w:val="7"/>
              <w:widowControl w:val="0"/>
              <w:numPr>
                <w:ilvl w:val="0"/>
                <w:numId w:val="0"/>
              </w:numPr>
              <w:spacing w:before="0" w:beforeAutospacing="0" w:after="0" w:afterAutospacing="0" w:line="360" w:lineRule="auto"/>
              <w:jc w:val="both"/>
              <w:rPr>
                <w:rFonts w:hint="eastAsia" w:ascii="宋体" w:hAnsi="宋体" w:eastAsia="宋体"/>
                <w:b w:val="0"/>
                <w:color w:val="auto"/>
                <w:sz w:val="24"/>
                <w:highlight w:val="none"/>
                <w:u w:val="none"/>
                <w:lang w:eastAsia="zh-CN"/>
              </w:rPr>
            </w:pPr>
            <w:r>
              <w:rPr>
                <w:rFonts w:hint="eastAsia" w:ascii="宋体" w:hAnsi="宋体" w:eastAsia="宋体" w:cs="@仿宋_GB2312"/>
                <w:b w:val="0"/>
                <w:bCs/>
                <w:color w:val="auto"/>
                <w:kern w:val="0"/>
                <w:sz w:val="24"/>
                <w:szCs w:val="28"/>
                <w:highlight w:val="none"/>
                <w:u w:val="none"/>
                <w:lang w:val="en-US" w:eastAsia="zh-CN" w:bidi="ar-SA"/>
              </w:rPr>
              <w:t>（2）</w:t>
            </w:r>
            <w:r>
              <w:rPr>
                <w:rFonts w:hint="eastAsia" w:ascii="宋体" w:hAnsi="宋体" w:eastAsia="宋体"/>
                <w:b w:val="0"/>
                <w:color w:val="auto"/>
                <w:sz w:val="24"/>
                <w:highlight w:val="none"/>
                <w:u w:val="none"/>
                <w:lang w:eastAsia="zh-CN"/>
              </w:rPr>
              <w:t>工程竣工验收通过，收到发票后7个工作日内支付至合同价的100% 。</w:t>
            </w:r>
          </w:p>
        </w:tc>
      </w:tr>
      <w:tr w14:paraId="48CED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590" w:type="pct"/>
            <w:vAlign w:val="center"/>
          </w:tcPr>
          <w:p w14:paraId="6DA4B143">
            <w:pPr>
              <w:pStyle w:val="6"/>
              <w:pBdr>
                <w:bottom w:val="none" w:color="auto" w:sz="0" w:space="0"/>
              </w:pBdr>
              <w:tabs>
                <w:tab w:val="clear" w:pos="4153"/>
                <w:tab w:val="clear" w:pos="8306"/>
              </w:tabs>
              <w:adjustRightInd/>
              <w:spacing w:line="240" w:lineRule="auto"/>
              <w:textAlignment w:val="auto"/>
              <w:rPr>
                <w:rFonts w:hint="eastAsia" w:ascii="宋体" w:hAnsi="宋体" w:eastAsia="宋体"/>
                <w:bCs/>
                <w:color w:val="auto"/>
                <w:kern w:val="2"/>
                <w:highlight w:val="none"/>
              </w:rPr>
            </w:pPr>
            <w:r>
              <w:rPr>
                <w:rFonts w:hint="eastAsia" w:ascii="宋体" w:hAnsi="宋体" w:eastAsia="宋体"/>
                <w:bCs/>
                <w:color w:val="auto"/>
                <w:kern w:val="2"/>
                <w:highlight w:val="none"/>
              </w:rPr>
              <w:t>2</w:t>
            </w:r>
          </w:p>
        </w:tc>
        <w:tc>
          <w:tcPr>
            <w:tcW w:w="1192" w:type="pct"/>
            <w:vAlign w:val="center"/>
          </w:tcPr>
          <w:p w14:paraId="62314542">
            <w:pPr>
              <w:pStyle w:val="7"/>
              <w:widowControl w:val="0"/>
              <w:spacing w:before="0" w:beforeAutospacing="0" w:after="0" w:afterAutospacing="0" w:line="360" w:lineRule="auto"/>
              <w:rPr>
                <w:rFonts w:hint="eastAsia" w:ascii="宋体" w:hAnsi="宋体" w:eastAsia="宋体"/>
                <w:b w:val="0"/>
                <w:color w:val="auto"/>
                <w:sz w:val="24"/>
                <w:highlight w:val="none"/>
              </w:rPr>
            </w:pPr>
            <w:r>
              <w:rPr>
                <w:rFonts w:hint="eastAsia" w:ascii="宋体" w:hAnsi="宋体" w:eastAsia="宋体"/>
                <w:b w:val="0"/>
                <w:color w:val="auto"/>
                <w:sz w:val="24"/>
                <w:highlight w:val="none"/>
              </w:rPr>
              <w:t>服务地点</w:t>
            </w:r>
          </w:p>
        </w:tc>
        <w:tc>
          <w:tcPr>
            <w:tcW w:w="3217" w:type="pct"/>
            <w:vAlign w:val="center"/>
          </w:tcPr>
          <w:p w14:paraId="173AE0CD">
            <w:pPr>
              <w:pStyle w:val="7"/>
              <w:widowControl w:val="0"/>
              <w:spacing w:before="0" w:beforeAutospacing="0" w:after="0" w:afterAutospacing="0" w:line="360" w:lineRule="auto"/>
              <w:jc w:val="both"/>
              <w:rPr>
                <w:rFonts w:hint="eastAsia" w:ascii="宋体" w:hAnsi="宋体" w:eastAsia="宋体"/>
                <w:b w:val="0"/>
                <w:color w:val="auto"/>
                <w:sz w:val="24"/>
                <w:highlight w:val="none"/>
                <w:u w:val="none"/>
              </w:rPr>
            </w:pPr>
            <w:r>
              <w:rPr>
                <w:rFonts w:hint="eastAsia" w:ascii="宋体" w:hAnsi="宋体" w:eastAsia="宋体"/>
                <w:b w:val="0"/>
                <w:color w:val="auto"/>
                <w:sz w:val="24"/>
                <w:highlight w:val="none"/>
                <w:u w:val="none"/>
                <w:lang w:val="en-US" w:eastAsia="zh-CN"/>
              </w:rPr>
              <w:t>蚌埠市禹会区</w:t>
            </w:r>
            <w:r>
              <w:rPr>
                <w:rFonts w:hint="eastAsia" w:ascii="宋体" w:hAnsi="宋体" w:eastAsia="宋体"/>
                <w:b w:val="0"/>
                <w:color w:val="auto"/>
                <w:sz w:val="24"/>
                <w:highlight w:val="none"/>
                <w:u w:val="none"/>
              </w:rPr>
              <w:t xml:space="preserve">  </w:t>
            </w:r>
          </w:p>
        </w:tc>
      </w:tr>
      <w:tr w14:paraId="119BA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590" w:type="pct"/>
            <w:vAlign w:val="center"/>
          </w:tcPr>
          <w:p w14:paraId="42A381BB">
            <w:pPr>
              <w:pStyle w:val="6"/>
              <w:pBdr>
                <w:bottom w:val="none" w:color="auto" w:sz="0" w:space="0"/>
              </w:pBdr>
              <w:tabs>
                <w:tab w:val="clear" w:pos="4153"/>
                <w:tab w:val="clear" w:pos="8306"/>
              </w:tabs>
              <w:adjustRightInd/>
              <w:spacing w:line="240" w:lineRule="auto"/>
              <w:textAlignment w:val="auto"/>
              <w:rPr>
                <w:rFonts w:hint="eastAsia" w:ascii="宋体" w:hAnsi="宋体" w:eastAsia="宋体"/>
                <w:bCs/>
                <w:color w:val="auto"/>
                <w:kern w:val="2"/>
                <w:highlight w:val="none"/>
              </w:rPr>
            </w:pPr>
            <w:r>
              <w:rPr>
                <w:rFonts w:hint="eastAsia" w:ascii="宋体" w:hAnsi="宋体" w:eastAsia="宋体"/>
                <w:bCs/>
                <w:color w:val="auto"/>
                <w:kern w:val="2"/>
                <w:highlight w:val="none"/>
              </w:rPr>
              <w:t>3</w:t>
            </w:r>
          </w:p>
        </w:tc>
        <w:tc>
          <w:tcPr>
            <w:tcW w:w="1192" w:type="pct"/>
            <w:vAlign w:val="center"/>
          </w:tcPr>
          <w:p w14:paraId="15B4BE59">
            <w:pPr>
              <w:pStyle w:val="7"/>
              <w:widowControl w:val="0"/>
              <w:spacing w:before="0" w:beforeAutospacing="0" w:after="0" w:afterAutospacing="0" w:line="360" w:lineRule="auto"/>
              <w:rPr>
                <w:rFonts w:hint="eastAsia" w:ascii="宋体" w:hAnsi="宋体" w:eastAsia="宋体"/>
                <w:b w:val="0"/>
                <w:color w:val="auto"/>
                <w:sz w:val="24"/>
                <w:highlight w:val="none"/>
              </w:rPr>
            </w:pPr>
            <w:r>
              <w:rPr>
                <w:rFonts w:hint="eastAsia" w:ascii="宋体" w:hAnsi="宋体" w:eastAsia="宋体"/>
                <w:b w:val="0"/>
                <w:color w:val="auto"/>
                <w:sz w:val="24"/>
                <w:highlight w:val="none"/>
              </w:rPr>
              <w:t>服务期限</w:t>
            </w:r>
          </w:p>
        </w:tc>
        <w:tc>
          <w:tcPr>
            <w:tcW w:w="3217" w:type="pct"/>
            <w:vAlign w:val="center"/>
          </w:tcPr>
          <w:p w14:paraId="51F726E3">
            <w:pPr>
              <w:pStyle w:val="7"/>
              <w:widowControl w:val="0"/>
              <w:spacing w:before="0" w:beforeAutospacing="0" w:after="0" w:afterAutospacing="0" w:line="360" w:lineRule="auto"/>
              <w:jc w:val="both"/>
              <w:rPr>
                <w:rFonts w:hint="eastAsia" w:ascii="宋体" w:hAnsi="宋体" w:eastAsia="宋体"/>
                <w:b w:val="0"/>
                <w:color w:val="auto"/>
                <w:sz w:val="24"/>
                <w:highlight w:val="none"/>
                <w:lang w:eastAsia="zh-CN"/>
              </w:rPr>
            </w:pPr>
            <w:r>
              <w:rPr>
                <w:rFonts w:hint="eastAsia" w:ascii="宋体" w:hAnsi="宋体" w:eastAsia="宋体"/>
                <w:b w:val="0"/>
                <w:color w:val="auto"/>
                <w:sz w:val="24"/>
                <w:highlight w:val="none"/>
              </w:rPr>
              <w:t>自采购人发出开始监理通知至项目缺陷责任期结束止</w:t>
            </w:r>
            <w:r>
              <w:rPr>
                <w:rFonts w:hint="eastAsia" w:ascii="宋体" w:hAnsi="宋体" w:eastAsia="宋体"/>
                <w:b w:val="0"/>
                <w:color w:val="auto"/>
                <w:sz w:val="24"/>
                <w:highlight w:val="none"/>
                <w:lang w:eastAsia="zh-CN"/>
              </w:rPr>
              <w:t>。</w:t>
            </w:r>
          </w:p>
        </w:tc>
      </w:tr>
      <w:tr w14:paraId="4F7DD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590" w:type="pct"/>
            <w:vAlign w:val="center"/>
          </w:tcPr>
          <w:p w14:paraId="1AA42FBA">
            <w:pPr>
              <w:pStyle w:val="6"/>
              <w:pBdr>
                <w:bottom w:val="none" w:color="auto" w:sz="0" w:space="0"/>
              </w:pBdr>
              <w:tabs>
                <w:tab w:val="clear" w:pos="4153"/>
                <w:tab w:val="clear" w:pos="8306"/>
              </w:tabs>
              <w:adjustRightInd/>
              <w:spacing w:line="240" w:lineRule="auto"/>
              <w:textAlignment w:val="auto"/>
              <w:rPr>
                <w:rFonts w:hint="eastAsia" w:ascii="宋体" w:hAnsi="宋体" w:eastAsia="宋体"/>
                <w:bCs/>
                <w:color w:val="auto"/>
                <w:kern w:val="2"/>
                <w:highlight w:val="none"/>
              </w:rPr>
            </w:pPr>
            <w:r>
              <w:rPr>
                <w:rFonts w:hint="eastAsia" w:ascii="宋体" w:hAnsi="宋体" w:eastAsia="宋体"/>
                <w:bCs/>
                <w:color w:val="auto"/>
                <w:kern w:val="2"/>
                <w:highlight w:val="none"/>
              </w:rPr>
              <w:t>4</w:t>
            </w:r>
          </w:p>
        </w:tc>
        <w:tc>
          <w:tcPr>
            <w:tcW w:w="1192" w:type="pct"/>
            <w:vAlign w:val="center"/>
          </w:tcPr>
          <w:p w14:paraId="27C7C119">
            <w:pPr>
              <w:pStyle w:val="7"/>
              <w:widowControl w:val="0"/>
              <w:spacing w:before="0" w:beforeAutospacing="0" w:after="0" w:afterAutospacing="0" w:line="360" w:lineRule="auto"/>
              <w:rPr>
                <w:rFonts w:hint="eastAsia" w:ascii="宋体" w:hAnsi="宋体" w:eastAsia="宋体"/>
                <w:b w:val="0"/>
                <w:color w:val="auto"/>
                <w:sz w:val="24"/>
                <w:highlight w:val="none"/>
              </w:rPr>
            </w:pPr>
            <w:r>
              <w:rPr>
                <w:rFonts w:hint="eastAsia" w:ascii="宋体" w:hAnsi="宋体" w:eastAsia="宋体"/>
                <w:b w:val="0"/>
                <w:color w:val="auto"/>
                <w:sz w:val="24"/>
                <w:highlight w:val="none"/>
              </w:rPr>
              <w:t>本项目采购标的名称及所属行业</w:t>
            </w:r>
          </w:p>
        </w:tc>
        <w:tc>
          <w:tcPr>
            <w:tcW w:w="3217" w:type="pct"/>
            <w:vAlign w:val="center"/>
          </w:tcPr>
          <w:p w14:paraId="176C1AD4">
            <w:pPr>
              <w:spacing w:line="360" w:lineRule="auto"/>
              <w:jc w:val="left"/>
              <w:rPr>
                <w:rFonts w:hint="eastAsia" w:asciiTheme="minorEastAsia" w:hAnsiTheme="minorEastAsia" w:eastAsiaTheme="minorEastAsia"/>
                <w:color w:val="auto"/>
                <w:sz w:val="24"/>
                <w:highlight w:val="none"/>
                <w:lang w:eastAsia="zh-CN"/>
              </w:rPr>
            </w:pPr>
            <w:r>
              <w:rPr>
                <w:rFonts w:hint="eastAsia" w:asciiTheme="minorEastAsia" w:hAnsiTheme="minorEastAsia" w:eastAsiaTheme="minorEastAsia"/>
                <w:color w:val="auto"/>
                <w:sz w:val="24"/>
                <w:highlight w:val="none"/>
              </w:rPr>
              <w:t>标的名称：</w:t>
            </w:r>
            <w:r>
              <w:rPr>
                <w:rFonts w:hint="eastAsia" w:asciiTheme="minorEastAsia" w:hAnsiTheme="minorEastAsia" w:eastAsiaTheme="minorEastAsia"/>
                <w:color w:val="auto"/>
                <w:sz w:val="24"/>
                <w:highlight w:val="none"/>
                <w:lang w:eastAsia="zh-CN"/>
              </w:rPr>
              <w:t>2025年禹会区高标准农田建设项目监理</w:t>
            </w:r>
          </w:p>
          <w:p w14:paraId="2E7166B4">
            <w:pPr>
              <w:rPr>
                <w:rFonts w:hint="eastAsia" w:ascii="宋体" w:hAnsi="宋体" w:eastAsia="宋体"/>
                <w:b w:val="0"/>
                <w:color w:val="auto"/>
                <w:sz w:val="24"/>
                <w:highlight w:val="none"/>
                <w:u w:val="single"/>
              </w:rPr>
            </w:pPr>
            <w:r>
              <w:rPr>
                <w:rFonts w:hint="eastAsia" w:asciiTheme="minorEastAsia" w:hAnsiTheme="minorEastAsia" w:eastAsiaTheme="minorEastAsia"/>
                <w:color w:val="auto"/>
                <w:sz w:val="24"/>
                <w:highlight w:val="none"/>
              </w:rPr>
              <w:t>所属行业：</w:t>
            </w:r>
            <w:r>
              <w:rPr>
                <w:rFonts w:ascii="宋体" w:hAnsi="宋体" w:eastAsia="宋体" w:cs="宋体"/>
                <w:color w:val="auto"/>
                <w:sz w:val="24"/>
                <w:szCs w:val="24"/>
                <w:highlight w:val="none"/>
              </w:rPr>
              <w:t>其他未列明行业</w:t>
            </w:r>
            <w:r>
              <w:rPr>
                <w:rFonts w:hint="eastAsia" w:ascii="宋体" w:hAnsi="宋体" w:eastAsia="宋体" w:cs="宋体"/>
                <w:color w:val="auto"/>
                <w:sz w:val="24"/>
                <w:szCs w:val="24"/>
                <w:highlight w:val="none"/>
                <w:lang w:eastAsia="zh-CN"/>
              </w:rPr>
              <w:t>。</w:t>
            </w:r>
          </w:p>
        </w:tc>
      </w:tr>
    </w:tbl>
    <w:p w14:paraId="22AC4D0D">
      <w:pPr>
        <w:spacing w:line="360" w:lineRule="auto"/>
        <w:ind w:firstLine="437"/>
        <w:outlineLvl w:val="1"/>
        <w:rPr>
          <w:rFonts w:hint="eastAsia" w:ascii="宋体" w:hAnsi="宋体" w:eastAsia="宋体"/>
          <w:b/>
          <w:color w:val="auto"/>
          <w:sz w:val="24"/>
          <w:szCs w:val="18"/>
          <w:highlight w:val="none"/>
        </w:rPr>
      </w:pPr>
      <w:bookmarkStart w:id="4" w:name="_Toc25144"/>
      <w:bookmarkStart w:id="5" w:name="_Toc23116"/>
      <w:bookmarkStart w:id="6" w:name="_Toc30792"/>
      <w:r>
        <w:rPr>
          <w:rFonts w:hint="eastAsia" w:ascii="宋体" w:hAnsi="宋体" w:eastAsia="宋体"/>
          <w:b/>
          <w:color w:val="auto"/>
          <w:sz w:val="24"/>
          <w:szCs w:val="18"/>
          <w:highlight w:val="none"/>
        </w:rPr>
        <w:t>二、项目概况</w:t>
      </w:r>
      <w:bookmarkEnd w:id="4"/>
      <w:bookmarkEnd w:id="5"/>
      <w:bookmarkEnd w:id="6"/>
    </w:p>
    <w:p w14:paraId="4714C27D">
      <w:pPr>
        <w:pStyle w:val="8"/>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b/>
          <w:color w:val="auto"/>
          <w:sz w:val="24"/>
          <w:szCs w:val="18"/>
          <w:highlight w:val="none"/>
        </w:rPr>
      </w:pPr>
      <w:r>
        <w:rPr>
          <w:rFonts w:hint="eastAsia" w:ascii="宋体" w:hAnsi="宋体" w:eastAsia="宋体"/>
          <w:b/>
          <w:color w:val="auto"/>
          <w:sz w:val="24"/>
          <w:szCs w:val="18"/>
          <w:highlight w:val="none"/>
        </w:rPr>
        <w:t xml:space="preserve"> </w:t>
      </w:r>
      <w:r>
        <w:rPr>
          <w:rFonts w:hint="eastAsia" w:ascii="宋体" w:hAnsi="宋体" w:eastAsia="宋体"/>
          <w:b w:val="0"/>
          <w:bCs/>
          <w:color w:val="auto"/>
          <w:sz w:val="24"/>
          <w:szCs w:val="18"/>
          <w:highlight w:val="none"/>
        </w:rPr>
        <w:t>2025年禹会区高标准农田建设项目包括新建和改造提升，涉及五淮村、立新村、白衣村三个行政村，其中新建面积约0.5万亩，改造提升面积约0.5万亩，主要建设内容包括土地平整、土壤改良、灌溉排水、田间道路、农田防护与生态环境保持等。</w:t>
      </w:r>
      <w:r>
        <w:rPr>
          <w:rFonts w:hint="eastAsia" w:ascii="宋体" w:hAnsi="宋体" w:eastAsia="宋体" w:cs="宋体"/>
          <w:color w:val="auto"/>
          <w:kern w:val="2"/>
          <w:sz w:val="24"/>
          <w:szCs w:val="24"/>
          <w:highlight w:val="none"/>
          <w:lang w:val="en-US" w:eastAsia="zh-CN"/>
        </w:rPr>
        <w:t>本项目监理工作内容包括</w:t>
      </w:r>
      <w:r>
        <w:rPr>
          <w:rFonts w:hint="eastAsia" w:ascii="宋体" w:hAnsi="宋体" w:eastAsia="宋体" w:cs="宋体"/>
          <w:color w:val="auto"/>
          <w:kern w:val="2"/>
          <w:sz w:val="24"/>
          <w:szCs w:val="24"/>
          <w:highlight w:val="none"/>
        </w:rPr>
        <w:t>施工准备阶段、施工阶段、缺陷责任期阶段所有工程建设监理服务。</w:t>
      </w:r>
    </w:p>
    <w:p w14:paraId="02761C4A">
      <w:pPr>
        <w:spacing w:line="360" w:lineRule="auto"/>
        <w:ind w:firstLine="437"/>
        <w:outlineLvl w:val="1"/>
        <w:rPr>
          <w:rFonts w:hint="eastAsia" w:ascii="宋体" w:hAnsi="宋体" w:eastAsia="宋体"/>
          <w:b/>
          <w:color w:val="auto"/>
          <w:sz w:val="24"/>
          <w:szCs w:val="18"/>
          <w:highlight w:val="none"/>
        </w:rPr>
      </w:pPr>
      <w:bookmarkStart w:id="7" w:name="_Toc21757"/>
      <w:bookmarkStart w:id="8" w:name="_Toc24560"/>
      <w:bookmarkStart w:id="9" w:name="_Toc8586"/>
      <w:r>
        <w:rPr>
          <w:rFonts w:hint="eastAsia" w:ascii="宋体" w:hAnsi="宋体" w:eastAsia="宋体"/>
          <w:b/>
          <w:color w:val="auto"/>
          <w:sz w:val="24"/>
          <w:szCs w:val="18"/>
          <w:highlight w:val="none"/>
        </w:rPr>
        <w:t>三、服务需求</w:t>
      </w:r>
      <w:bookmarkEnd w:id="7"/>
      <w:bookmarkEnd w:id="8"/>
      <w:bookmarkEnd w:id="9"/>
    </w:p>
    <w:p w14:paraId="493D5DDF">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10" w:name="_Toc256000200"/>
      <w:bookmarkStart w:id="11" w:name="_Toc22190"/>
      <w:bookmarkStart w:id="12" w:name="_Toc26964"/>
      <w:bookmarkStart w:id="13" w:name="_Toc482188638"/>
      <w:bookmarkStart w:id="14" w:name="_Toc9979"/>
      <w:bookmarkStart w:id="15" w:name="_Toc492300708"/>
      <w:bookmarkStart w:id="16" w:name="_Toc256000210"/>
      <w:r>
        <w:rPr>
          <w:rFonts w:hint="eastAsia" w:ascii="宋体" w:hAnsi="宋体" w:eastAsia="宋体"/>
          <w:b w:val="0"/>
          <w:bCs/>
          <w:color w:val="auto"/>
          <w:sz w:val="24"/>
          <w:szCs w:val="18"/>
          <w:highlight w:val="none"/>
          <w:lang w:val="en-US" w:eastAsia="zh-CN"/>
        </w:rPr>
        <w:t>1</w:t>
      </w:r>
      <w:r>
        <w:rPr>
          <w:rFonts w:hint="eastAsia" w:ascii="宋体" w:hAnsi="宋体" w:eastAsia="宋体"/>
          <w:b w:val="0"/>
          <w:bCs/>
          <w:color w:val="auto"/>
          <w:sz w:val="24"/>
          <w:szCs w:val="18"/>
          <w:highlight w:val="none"/>
        </w:rPr>
        <w:t>、适用规范标准</w:t>
      </w:r>
      <w:bookmarkEnd w:id="10"/>
      <w:bookmarkEnd w:id="11"/>
      <w:bookmarkEnd w:id="12"/>
      <w:bookmarkEnd w:id="13"/>
      <w:bookmarkEnd w:id="14"/>
      <w:bookmarkEnd w:id="15"/>
      <w:bookmarkEnd w:id="16"/>
    </w:p>
    <w:p w14:paraId="4AA3959A">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（一）通用施工监理规范</w:t>
      </w:r>
    </w:p>
    <w:p w14:paraId="32F9EE9F">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lang w:eastAsia="zh-CN"/>
        </w:rPr>
      </w:pPr>
      <w:r>
        <w:rPr>
          <w:rFonts w:hint="eastAsia" w:ascii="宋体" w:hAnsi="宋体" w:eastAsia="宋体"/>
          <w:b w:val="0"/>
          <w:bCs/>
          <w:color w:val="auto"/>
          <w:sz w:val="24"/>
          <w:szCs w:val="18"/>
          <w:highlight w:val="none"/>
        </w:rPr>
        <w:t>1. 国家、行业、项目所在地规范名录</w:t>
      </w:r>
      <w:r>
        <w:rPr>
          <w:rFonts w:hint="eastAsia" w:ascii="宋体" w:hAnsi="宋体" w:eastAsia="宋体"/>
          <w:b w:val="0"/>
          <w:bCs/>
          <w:color w:val="auto"/>
          <w:sz w:val="24"/>
          <w:szCs w:val="18"/>
          <w:highlight w:val="none"/>
          <w:lang w:eastAsia="zh-CN"/>
        </w:rPr>
        <w:t>。</w:t>
      </w:r>
    </w:p>
    <w:p w14:paraId="6B207453">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lang w:eastAsia="zh-CN"/>
        </w:rPr>
      </w:pPr>
      <w:r>
        <w:rPr>
          <w:rFonts w:hint="eastAsia" w:ascii="宋体" w:hAnsi="宋体" w:eastAsia="宋体"/>
          <w:b w:val="0"/>
          <w:bCs/>
          <w:color w:val="auto"/>
          <w:sz w:val="24"/>
          <w:szCs w:val="18"/>
          <w:highlight w:val="none"/>
        </w:rPr>
        <w:t>2. 国家、行业、项目所在地标准名录</w:t>
      </w:r>
      <w:r>
        <w:rPr>
          <w:rFonts w:hint="eastAsia" w:ascii="宋体" w:hAnsi="宋体" w:eastAsia="宋体"/>
          <w:b w:val="0"/>
          <w:bCs/>
          <w:color w:val="auto"/>
          <w:sz w:val="24"/>
          <w:szCs w:val="18"/>
          <w:highlight w:val="none"/>
          <w:lang w:eastAsia="zh-CN"/>
        </w:rPr>
        <w:t>。</w:t>
      </w:r>
    </w:p>
    <w:p w14:paraId="16B2CE3C">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3. 国家、行业、项目所在地规程名录。</w:t>
      </w:r>
    </w:p>
    <w:p w14:paraId="082A9671">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（二）专用施工监理规范</w:t>
      </w:r>
    </w:p>
    <w:p w14:paraId="60E3C390">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招标人根据工程的实际情况，在国家、行业、项目所在地规范、标准、规程名录的基础上编制的相关规范、管理办法、制度等。</w:t>
      </w:r>
    </w:p>
    <w:p w14:paraId="0B3B2FB4">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（三）施工技术规范</w:t>
      </w:r>
    </w:p>
    <w:p w14:paraId="6CD3DD32">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施工技术规范包括以下内容：</w:t>
      </w:r>
    </w:p>
    <w:p w14:paraId="44F3D3E7">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①</w:t>
      </w:r>
      <w:r>
        <w:rPr>
          <w:rFonts w:hint="eastAsia" w:ascii="宋体" w:hAnsi="宋体" w:eastAsia="宋体"/>
          <w:b w:val="0"/>
          <w:bCs/>
          <w:color w:val="auto"/>
          <w:sz w:val="24"/>
          <w:szCs w:val="18"/>
          <w:highlight w:val="none"/>
        </w:rPr>
        <w:t>本工程施工标段招标文件中的技术规范；</w:t>
      </w:r>
    </w:p>
    <w:p w14:paraId="5DFDFB8E">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②</w:t>
      </w:r>
      <w:r>
        <w:rPr>
          <w:rFonts w:hint="eastAsia" w:ascii="宋体" w:hAnsi="宋体" w:eastAsia="宋体"/>
          <w:b w:val="0"/>
          <w:bCs/>
          <w:color w:val="auto"/>
          <w:sz w:val="24"/>
          <w:szCs w:val="18"/>
          <w:highlight w:val="none"/>
        </w:rPr>
        <w:t>所有与工程施工有关的国家现行的高标准农田建设标准、规范、规程及相关文件。</w:t>
      </w:r>
    </w:p>
    <w:p w14:paraId="61BF7B27">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(四) 国家、行业、项目所在地适用本工程的其他规范、标准或规程</w:t>
      </w:r>
    </w:p>
    <w:p w14:paraId="152CB2BD">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17" w:name="_Toc482188639"/>
      <w:bookmarkStart w:id="18" w:name="_Toc256000211"/>
      <w:bookmarkStart w:id="19" w:name="_Toc14564"/>
      <w:bookmarkStart w:id="20" w:name="_Toc25305"/>
      <w:bookmarkStart w:id="21" w:name="_Toc256000201"/>
      <w:bookmarkStart w:id="22" w:name="_Toc3114"/>
      <w:bookmarkStart w:id="23" w:name="_Toc492300709"/>
      <w:r>
        <w:rPr>
          <w:rFonts w:hint="eastAsia" w:ascii="宋体" w:hAnsi="宋体" w:eastAsia="宋体"/>
          <w:b w:val="0"/>
          <w:bCs/>
          <w:color w:val="auto"/>
          <w:sz w:val="24"/>
          <w:szCs w:val="18"/>
          <w:highlight w:val="none"/>
          <w:lang w:val="en-US" w:eastAsia="zh-CN"/>
        </w:rPr>
        <w:t>2</w:t>
      </w:r>
      <w:r>
        <w:rPr>
          <w:rFonts w:hint="eastAsia" w:ascii="宋体" w:hAnsi="宋体" w:eastAsia="宋体"/>
          <w:b w:val="0"/>
          <w:bCs/>
          <w:color w:val="auto"/>
          <w:sz w:val="24"/>
          <w:szCs w:val="18"/>
          <w:highlight w:val="none"/>
        </w:rPr>
        <w:t>、成果文件要求</w:t>
      </w:r>
      <w:bookmarkEnd w:id="17"/>
      <w:bookmarkEnd w:id="18"/>
      <w:bookmarkEnd w:id="19"/>
      <w:bookmarkEnd w:id="20"/>
      <w:bookmarkEnd w:id="21"/>
      <w:bookmarkEnd w:id="22"/>
      <w:bookmarkEnd w:id="23"/>
    </w:p>
    <w:p w14:paraId="06E561E4">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24" w:name="_Toc482188640"/>
      <w:bookmarkStart w:id="25" w:name="_Toc492300710"/>
      <w:r>
        <w:rPr>
          <w:rFonts w:hint="eastAsia" w:ascii="宋体" w:hAnsi="宋体" w:eastAsia="宋体"/>
          <w:b w:val="0"/>
          <w:bCs/>
          <w:color w:val="auto"/>
          <w:sz w:val="24"/>
          <w:szCs w:val="18"/>
          <w:highlight w:val="none"/>
        </w:rPr>
        <w:t>满足国家、行业、项目所在地规范、标准、规程名录等的规定。</w:t>
      </w:r>
    </w:p>
    <w:p w14:paraId="14D567F3">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26" w:name="_Toc24298"/>
      <w:bookmarkStart w:id="27" w:name="_Toc256000212"/>
      <w:bookmarkStart w:id="28" w:name="_Toc973"/>
      <w:bookmarkStart w:id="29" w:name="_Toc256000202"/>
      <w:bookmarkStart w:id="30" w:name="_Toc551"/>
      <w:r>
        <w:rPr>
          <w:rFonts w:hint="eastAsia" w:ascii="宋体" w:hAnsi="宋体" w:eastAsia="宋体"/>
          <w:b w:val="0"/>
          <w:bCs/>
          <w:color w:val="auto"/>
          <w:sz w:val="24"/>
          <w:szCs w:val="18"/>
          <w:highlight w:val="none"/>
          <w:lang w:val="en-US" w:eastAsia="zh-CN"/>
        </w:rPr>
        <w:t>3</w:t>
      </w:r>
      <w:r>
        <w:rPr>
          <w:rFonts w:hint="eastAsia" w:ascii="宋体" w:hAnsi="宋体" w:eastAsia="宋体"/>
          <w:b w:val="0"/>
          <w:bCs/>
          <w:color w:val="auto"/>
          <w:sz w:val="24"/>
          <w:szCs w:val="18"/>
          <w:highlight w:val="none"/>
        </w:rPr>
        <w:t>、委托人财产清单</w:t>
      </w:r>
      <w:bookmarkEnd w:id="24"/>
      <w:bookmarkEnd w:id="25"/>
      <w:bookmarkEnd w:id="26"/>
      <w:bookmarkEnd w:id="27"/>
      <w:bookmarkEnd w:id="28"/>
      <w:bookmarkEnd w:id="29"/>
      <w:bookmarkEnd w:id="30"/>
    </w:p>
    <w:p w14:paraId="44CE958B">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31" w:name="_Toc492300711"/>
      <w:bookmarkStart w:id="32" w:name="_Toc482188641"/>
      <w:bookmarkStart w:id="33" w:name="_Toc530144929"/>
      <w:bookmarkStart w:id="34" w:name="_Toc492300714"/>
      <w:bookmarkStart w:id="35" w:name="_Toc482188644"/>
      <w:r>
        <w:rPr>
          <w:rFonts w:hint="eastAsia" w:ascii="宋体" w:hAnsi="宋体" w:eastAsia="宋体"/>
          <w:b w:val="0"/>
          <w:bCs/>
          <w:color w:val="auto"/>
          <w:sz w:val="24"/>
          <w:szCs w:val="18"/>
          <w:highlight w:val="none"/>
        </w:rPr>
        <w:t>（一）委托人提供的设备、设施</w:t>
      </w:r>
      <w:bookmarkEnd w:id="31"/>
      <w:bookmarkEnd w:id="32"/>
      <w:bookmarkEnd w:id="33"/>
    </w:p>
    <w:p w14:paraId="6353B259">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因监理工作所需要的设备及设施由监理人自行配备，所需费用已包含在监理服务费报价清单中，委托人不再另行计量与支付。</w:t>
      </w:r>
    </w:p>
    <w:p w14:paraId="00CFB1CF">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36" w:name="_Toc530144930"/>
      <w:bookmarkStart w:id="37" w:name="_Toc492300712"/>
      <w:bookmarkStart w:id="38" w:name="_Toc482188642"/>
      <w:r>
        <w:rPr>
          <w:rFonts w:hint="eastAsia" w:ascii="宋体" w:hAnsi="宋体" w:eastAsia="宋体"/>
          <w:b w:val="0"/>
          <w:bCs/>
          <w:color w:val="auto"/>
          <w:sz w:val="24"/>
          <w:szCs w:val="18"/>
          <w:highlight w:val="none"/>
        </w:rPr>
        <w:t>（二）委托人提供的资料</w:t>
      </w:r>
      <w:bookmarkEnd w:id="36"/>
      <w:bookmarkEnd w:id="37"/>
      <w:bookmarkEnd w:id="38"/>
    </w:p>
    <w:p w14:paraId="6367A99A">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39" w:name="_Toc482188643"/>
      <w:bookmarkStart w:id="40" w:name="_Toc530144931"/>
      <w:bookmarkStart w:id="41" w:name="_Toc492300713"/>
      <w:r>
        <w:rPr>
          <w:rFonts w:hint="eastAsia" w:ascii="宋体" w:hAnsi="宋体" w:eastAsia="宋体"/>
          <w:b w:val="0"/>
          <w:bCs/>
          <w:color w:val="auto"/>
          <w:sz w:val="24"/>
          <w:szCs w:val="18"/>
          <w:highlight w:val="none"/>
          <w:lang w:val="en-US" w:eastAsia="zh-CN"/>
        </w:rPr>
        <w:t>①</w:t>
      </w:r>
      <w:r>
        <w:rPr>
          <w:rFonts w:hint="eastAsia" w:ascii="宋体" w:hAnsi="宋体" w:eastAsia="宋体"/>
          <w:b w:val="0"/>
          <w:bCs/>
          <w:color w:val="auto"/>
          <w:sz w:val="24"/>
          <w:szCs w:val="18"/>
          <w:highlight w:val="none"/>
        </w:rPr>
        <w:t>施工场地及毗邻区域内的供水、排水、供电、供气、供热、通信、广播电视等地下管线资料，气象和水文观测资料，相邻建筑物和构筑物、地下工程的有关资料，以及其他与建设工程有关的原始资料</w:t>
      </w:r>
    </w:p>
    <w:p w14:paraId="57EB1345">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②</w:t>
      </w:r>
      <w:r>
        <w:rPr>
          <w:rFonts w:hint="eastAsia" w:ascii="宋体" w:hAnsi="宋体" w:eastAsia="宋体"/>
          <w:b w:val="0"/>
          <w:bCs/>
          <w:color w:val="auto"/>
          <w:sz w:val="24"/>
          <w:szCs w:val="18"/>
          <w:highlight w:val="none"/>
        </w:rPr>
        <w:t>定位放线的基准点、基准线和基准标高</w:t>
      </w:r>
    </w:p>
    <w:p w14:paraId="39D7D98E">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③</w:t>
      </w:r>
      <w:r>
        <w:rPr>
          <w:rFonts w:hint="eastAsia" w:ascii="宋体" w:hAnsi="宋体" w:eastAsia="宋体"/>
          <w:b w:val="0"/>
          <w:bCs/>
          <w:color w:val="auto"/>
          <w:sz w:val="24"/>
          <w:szCs w:val="18"/>
          <w:highlight w:val="none"/>
        </w:rPr>
        <w:t>委托人取得的有关审批、核准和备案材料</w:t>
      </w:r>
    </w:p>
    <w:p w14:paraId="6B8E00E2">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④</w:t>
      </w:r>
      <w:r>
        <w:rPr>
          <w:rFonts w:hint="eastAsia" w:ascii="宋体" w:hAnsi="宋体" w:eastAsia="宋体"/>
          <w:b w:val="0"/>
          <w:bCs/>
          <w:color w:val="auto"/>
          <w:sz w:val="24"/>
          <w:szCs w:val="18"/>
          <w:highlight w:val="none"/>
        </w:rPr>
        <w:t>勘察文件、设计文件等资料</w:t>
      </w:r>
    </w:p>
    <w:p w14:paraId="28F2B135">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⑤</w:t>
      </w:r>
      <w:r>
        <w:rPr>
          <w:rFonts w:hint="eastAsia" w:ascii="宋体" w:hAnsi="宋体" w:eastAsia="宋体"/>
          <w:b w:val="0"/>
          <w:bCs/>
          <w:color w:val="auto"/>
          <w:sz w:val="24"/>
          <w:szCs w:val="18"/>
          <w:highlight w:val="none"/>
        </w:rPr>
        <w:t>技术标准、规范</w:t>
      </w:r>
    </w:p>
    <w:p w14:paraId="5BDC7A5E">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⑥</w:t>
      </w:r>
      <w:r>
        <w:rPr>
          <w:rFonts w:hint="eastAsia" w:ascii="宋体" w:hAnsi="宋体" w:eastAsia="宋体"/>
          <w:b w:val="0"/>
          <w:bCs/>
          <w:color w:val="auto"/>
          <w:sz w:val="24"/>
          <w:szCs w:val="18"/>
          <w:highlight w:val="none"/>
        </w:rPr>
        <w:t>工程承包合同及其他相关合同</w:t>
      </w:r>
    </w:p>
    <w:p w14:paraId="5DF6E3BE">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⑦</w:t>
      </w:r>
      <w:r>
        <w:rPr>
          <w:rFonts w:hint="eastAsia" w:ascii="宋体" w:hAnsi="宋体" w:eastAsia="宋体"/>
          <w:b w:val="0"/>
          <w:bCs/>
          <w:color w:val="auto"/>
          <w:sz w:val="24"/>
          <w:szCs w:val="18"/>
          <w:highlight w:val="none"/>
        </w:rPr>
        <w:t>其他资料</w:t>
      </w:r>
    </w:p>
    <w:p w14:paraId="19DAD0C4">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（三）委托人财产使用要求及退还要求</w:t>
      </w:r>
      <w:bookmarkEnd w:id="39"/>
      <w:bookmarkEnd w:id="40"/>
      <w:bookmarkEnd w:id="41"/>
    </w:p>
    <w:p w14:paraId="334A1330">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①</w:t>
      </w:r>
      <w:r>
        <w:rPr>
          <w:rFonts w:hint="eastAsia" w:ascii="宋体" w:hAnsi="宋体" w:eastAsia="宋体"/>
          <w:b w:val="0"/>
          <w:bCs/>
          <w:color w:val="auto"/>
          <w:sz w:val="24"/>
          <w:szCs w:val="18"/>
          <w:highlight w:val="none"/>
        </w:rPr>
        <w:t>委托人财产</w:t>
      </w:r>
      <w:r>
        <w:rPr>
          <w:rFonts w:hint="eastAsia" w:ascii="宋体" w:hAnsi="宋体" w:eastAsia="宋体"/>
          <w:b w:val="0"/>
          <w:bCs/>
          <w:color w:val="auto"/>
          <w:sz w:val="24"/>
          <w:szCs w:val="18"/>
          <w:highlight w:val="none"/>
          <w:lang w:val="en-US" w:eastAsia="zh-CN"/>
        </w:rPr>
        <w:t>（若有）</w:t>
      </w:r>
      <w:r>
        <w:rPr>
          <w:rFonts w:hint="eastAsia" w:ascii="宋体" w:hAnsi="宋体" w:eastAsia="宋体"/>
          <w:b w:val="0"/>
          <w:bCs/>
          <w:color w:val="auto"/>
          <w:sz w:val="24"/>
          <w:szCs w:val="18"/>
          <w:highlight w:val="none"/>
        </w:rPr>
        <w:t>使用要求：自觉爱护相关设施，保证财产安全。</w:t>
      </w:r>
    </w:p>
    <w:p w14:paraId="379DD469">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②</w:t>
      </w:r>
      <w:r>
        <w:rPr>
          <w:rFonts w:hint="eastAsia" w:ascii="宋体" w:hAnsi="宋体" w:eastAsia="宋体"/>
          <w:b w:val="0"/>
          <w:bCs/>
          <w:color w:val="auto"/>
          <w:sz w:val="24"/>
          <w:szCs w:val="18"/>
          <w:highlight w:val="none"/>
        </w:rPr>
        <w:t>委托人财产</w:t>
      </w:r>
      <w:r>
        <w:rPr>
          <w:rFonts w:hint="eastAsia" w:ascii="宋体" w:hAnsi="宋体" w:eastAsia="宋体"/>
          <w:b w:val="0"/>
          <w:bCs/>
          <w:color w:val="auto"/>
          <w:sz w:val="24"/>
          <w:szCs w:val="18"/>
          <w:highlight w:val="none"/>
          <w:lang w:val="en-US" w:eastAsia="zh-CN"/>
        </w:rPr>
        <w:t>（若有）</w:t>
      </w:r>
      <w:r>
        <w:rPr>
          <w:rFonts w:hint="eastAsia" w:ascii="宋体" w:hAnsi="宋体" w:eastAsia="宋体"/>
          <w:b w:val="0"/>
          <w:bCs/>
          <w:color w:val="auto"/>
          <w:sz w:val="24"/>
          <w:szCs w:val="18"/>
          <w:highlight w:val="none"/>
        </w:rPr>
        <w:t>退还要求：使用结束后完好退还，如有损坏应进行修复。</w:t>
      </w:r>
    </w:p>
    <w:p w14:paraId="34140C35">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42" w:name="_Toc256000213"/>
      <w:bookmarkStart w:id="43" w:name="_Toc27444"/>
      <w:bookmarkStart w:id="44" w:name="_Toc31573"/>
      <w:bookmarkStart w:id="45" w:name="_Toc256000203"/>
      <w:bookmarkStart w:id="46" w:name="_Toc28317"/>
      <w:r>
        <w:rPr>
          <w:rFonts w:hint="eastAsia" w:ascii="宋体" w:hAnsi="宋体" w:eastAsia="宋体"/>
          <w:b w:val="0"/>
          <w:bCs/>
          <w:color w:val="auto"/>
          <w:sz w:val="24"/>
          <w:szCs w:val="18"/>
          <w:highlight w:val="none"/>
          <w:lang w:val="en-US" w:eastAsia="zh-CN"/>
        </w:rPr>
        <w:t>4</w:t>
      </w:r>
      <w:r>
        <w:rPr>
          <w:rFonts w:hint="eastAsia" w:ascii="宋体" w:hAnsi="宋体" w:eastAsia="宋体"/>
          <w:b w:val="0"/>
          <w:bCs/>
          <w:color w:val="auto"/>
          <w:sz w:val="24"/>
          <w:szCs w:val="18"/>
          <w:highlight w:val="none"/>
        </w:rPr>
        <w:t>、委托人提供的便利条件</w:t>
      </w:r>
      <w:bookmarkEnd w:id="34"/>
      <w:bookmarkEnd w:id="35"/>
      <w:bookmarkEnd w:id="42"/>
      <w:bookmarkEnd w:id="43"/>
      <w:bookmarkEnd w:id="44"/>
      <w:bookmarkEnd w:id="45"/>
      <w:bookmarkEnd w:id="46"/>
    </w:p>
    <w:p w14:paraId="2085943D">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47" w:name="_Toc482188645"/>
      <w:bookmarkStart w:id="48" w:name="_Toc492300715"/>
      <w:r>
        <w:rPr>
          <w:rFonts w:hint="eastAsia" w:ascii="宋体" w:hAnsi="宋体" w:eastAsia="宋体"/>
          <w:b w:val="0"/>
          <w:bCs/>
          <w:color w:val="auto"/>
          <w:sz w:val="24"/>
          <w:szCs w:val="18"/>
          <w:highlight w:val="none"/>
        </w:rPr>
        <w:t>项目监理期间，施工现场的临时道路供监理人无偿使用，委托人不为监理人提供生活、交通、网络及通信等设备设施，也不提供协助人员，监理人应自行解决。</w:t>
      </w:r>
    </w:p>
    <w:p w14:paraId="238EF7CC">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49" w:name="_Toc18603"/>
      <w:bookmarkStart w:id="50" w:name="_Toc256000204"/>
      <w:bookmarkStart w:id="51" w:name="_Toc15555"/>
      <w:bookmarkStart w:id="52" w:name="_Toc22115"/>
      <w:bookmarkStart w:id="53" w:name="_Toc256000214"/>
      <w:r>
        <w:rPr>
          <w:rFonts w:hint="eastAsia" w:ascii="宋体" w:hAnsi="宋体" w:eastAsia="宋体"/>
          <w:b w:val="0"/>
          <w:bCs/>
          <w:color w:val="auto"/>
          <w:sz w:val="24"/>
          <w:szCs w:val="18"/>
          <w:highlight w:val="none"/>
          <w:lang w:val="en-US" w:eastAsia="zh-CN"/>
        </w:rPr>
        <w:t>5</w:t>
      </w:r>
      <w:r>
        <w:rPr>
          <w:rFonts w:hint="eastAsia" w:ascii="宋体" w:hAnsi="宋体" w:eastAsia="宋体"/>
          <w:b w:val="0"/>
          <w:bCs/>
          <w:color w:val="auto"/>
          <w:sz w:val="24"/>
          <w:szCs w:val="18"/>
          <w:highlight w:val="none"/>
        </w:rPr>
        <w:t>、监理人需要自备的工作条件</w:t>
      </w:r>
      <w:bookmarkEnd w:id="47"/>
      <w:bookmarkEnd w:id="48"/>
      <w:bookmarkEnd w:id="49"/>
      <w:bookmarkEnd w:id="50"/>
      <w:bookmarkEnd w:id="51"/>
      <w:bookmarkEnd w:id="52"/>
      <w:bookmarkEnd w:id="53"/>
    </w:p>
    <w:p w14:paraId="061D91C0">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①</w:t>
      </w:r>
      <w:r>
        <w:rPr>
          <w:rFonts w:hint="eastAsia" w:ascii="宋体" w:hAnsi="宋体" w:eastAsia="宋体"/>
          <w:b w:val="0"/>
          <w:bCs/>
          <w:color w:val="auto"/>
          <w:sz w:val="24"/>
          <w:szCs w:val="18"/>
          <w:highlight w:val="none"/>
        </w:rPr>
        <w:t>监理人自备的工作手册：如本项目必备的规范标准、图集等</w:t>
      </w:r>
    </w:p>
    <w:p w14:paraId="13C5B36A">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②</w:t>
      </w:r>
      <w:r>
        <w:rPr>
          <w:rFonts w:hint="eastAsia" w:ascii="宋体" w:hAnsi="宋体" w:eastAsia="宋体"/>
          <w:b w:val="0"/>
          <w:bCs/>
          <w:color w:val="auto"/>
          <w:sz w:val="24"/>
          <w:szCs w:val="18"/>
          <w:highlight w:val="none"/>
        </w:rPr>
        <w:t>监理人自备的办公设备：如电脑、软件、投影、打印机、复印机、照相机等</w:t>
      </w:r>
    </w:p>
    <w:p w14:paraId="22E17A5B">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③</w:t>
      </w:r>
      <w:r>
        <w:rPr>
          <w:rFonts w:hint="eastAsia" w:ascii="宋体" w:hAnsi="宋体" w:eastAsia="宋体"/>
          <w:b w:val="0"/>
          <w:bCs/>
          <w:color w:val="auto"/>
          <w:sz w:val="24"/>
          <w:szCs w:val="18"/>
          <w:highlight w:val="none"/>
        </w:rPr>
        <w:t>监理人自备的交通工具：如出行车辆等</w:t>
      </w:r>
    </w:p>
    <w:p w14:paraId="65FC1E68">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④</w:t>
      </w:r>
      <w:r>
        <w:rPr>
          <w:rFonts w:hint="eastAsia" w:ascii="宋体" w:hAnsi="宋体" w:eastAsia="宋体"/>
          <w:b w:val="0"/>
          <w:bCs/>
          <w:color w:val="auto"/>
          <w:sz w:val="24"/>
          <w:szCs w:val="18"/>
          <w:highlight w:val="none"/>
        </w:rPr>
        <w:t>监理人自备的现场办公设施：如办公桌椅、文件柜等</w:t>
      </w:r>
    </w:p>
    <w:p w14:paraId="67A568F3">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⑤</w:t>
      </w:r>
      <w:r>
        <w:rPr>
          <w:rFonts w:hint="eastAsia" w:ascii="宋体" w:hAnsi="宋体" w:eastAsia="宋体"/>
          <w:b w:val="0"/>
          <w:bCs/>
          <w:color w:val="auto"/>
          <w:sz w:val="24"/>
          <w:szCs w:val="18"/>
          <w:highlight w:val="none"/>
        </w:rPr>
        <w:t>监理人自备的安全设施：如安全帽、安全鞋、手电筒等</w:t>
      </w:r>
    </w:p>
    <w:p w14:paraId="37922439">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⑥</w:t>
      </w:r>
      <w:r>
        <w:rPr>
          <w:rFonts w:hint="eastAsia" w:ascii="宋体" w:hAnsi="宋体" w:eastAsia="宋体"/>
          <w:b w:val="0"/>
          <w:bCs/>
          <w:color w:val="auto"/>
          <w:sz w:val="24"/>
          <w:szCs w:val="18"/>
          <w:highlight w:val="none"/>
        </w:rPr>
        <w:t>监理人自备的试验检测仪器、设备、工具</w:t>
      </w:r>
    </w:p>
    <w:p w14:paraId="618658AC">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⑦</w:t>
      </w:r>
      <w:r>
        <w:rPr>
          <w:rFonts w:hint="eastAsia" w:ascii="宋体" w:hAnsi="宋体" w:eastAsia="宋体"/>
          <w:b w:val="0"/>
          <w:bCs/>
          <w:color w:val="auto"/>
          <w:sz w:val="24"/>
          <w:szCs w:val="18"/>
          <w:highlight w:val="none"/>
        </w:rPr>
        <w:t>监理人自备的试验用房、样品用房</w:t>
      </w:r>
    </w:p>
    <w:p w14:paraId="36CE63D5">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bookmarkStart w:id="54" w:name="_Toc256000206"/>
      <w:bookmarkStart w:id="55" w:name="_Toc21178"/>
      <w:bookmarkStart w:id="56" w:name="_Toc256000216"/>
      <w:bookmarkStart w:id="57" w:name="_Toc2581"/>
      <w:bookmarkStart w:id="58" w:name="_Toc16646"/>
      <w:r>
        <w:rPr>
          <w:rFonts w:hint="eastAsia" w:ascii="宋体" w:hAnsi="宋体" w:eastAsia="宋体"/>
          <w:b w:val="0"/>
          <w:bCs/>
          <w:color w:val="auto"/>
          <w:sz w:val="24"/>
          <w:szCs w:val="18"/>
          <w:highlight w:val="none"/>
          <w:lang w:val="en-US" w:eastAsia="zh-CN"/>
        </w:rPr>
        <w:t>6、</w:t>
      </w:r>
      <w:r>
        <w:rPr>
          <w:rFonts w:hint="eastAsia" w:ascii="宋体" w:hAnsi="宋体" w:eastAsia="宋体"/>
          <w:b w:val="0"/>
          <w:bCs/>
          <w:color w:val="auto"/>
          <w:sz w:val="24"/>
          <w:szCs w:val="18"/>
          <w:highlight w:val="none"/>
        </w:rPr>
        <w:t>图纸</w:t>
      </w:r>
      <w:bookmarkEnd w:id="54"/>
      <w:bookmarkEnd w:id="55"/>
      <w:bookmarkEnd w:id="56"/>
      <w:bookmarkEnd w:id="57"/>
      <w:bookmarkEnd w:id="58"/>
    </w:p>
    <w:p w14:paraId="71ABE5E1">
      <w:pPr>
        <w:pStyle w:val="8"/>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rPr>
        <w:t>监理人在编制</w:t>
      </w:r>
      <w:r>
        <w:rPr>
          <w:rFonts w:hint="eastAsia" w:ascii="宋体" w:hAnsi="宋体" w:eastAsia="宋体"/>
          <w:b w:val="0"/>
          <w:bCs/>
          <w:color w:val="auto"/>
          <w:sz w:val="24"/>
          <w:szCs w:val="18"/>
          <w:highlight w:val="none"/>
          <w:lang w:val="en-US" w:eastAsia="zh-CN"/>
        </w:rPr>
        <w:t>响应</w:t>
      </w:r>
      <w:r>
        <w:rPr>
          <w:rFonts w:hint="eastAsia" w:ascii="宋体" w:hAnsi="宋体" w:eastAsia="宋体"/>
          <w:b w:val="0"/>
          <w:bCs/>
          <w:color w:val="auto"/>
          <w:sz w:val="24"/>
          <w:szCs w:val="18"/>
          <w:highlight w:val="none"/>
        </w:rPr>
        <w:t>文件时应认真参考委托人提供的图纸编制监理大纲，图纸在电子交易系统下载。</w:t>
      </w:r>
    </w:p>
    <w:p w14:paraId="0264BF1B">
      <w:pPr>
        <w:spacing w:line="360" w:lineRule="auto"/>
        <w:ind w:firstLine="437"/>
        <w:outlineLvl w:val="1"/>
        <w:rPr>
          <w:rFonts w:hint="eastAsia" w:ascii="宋体" w:hAnsi="宋体" w:eastAsia="宋体"/>
          <w:b/>
          <w:color w:val="auto"/>
          <w:sz w:val="24"/>
          <w:szCs w:val="18"/>
          <w:highlight w:val="none"/>
        </w:rPr>
      </w:pPr>
      <w:bookmarkStart w:id="59" w:name="_Toc12910"/>
      <w:bookmarkStart w:id="60" w:name="_Toc3503"/>
      <w:bookmarkStart w:id="61" w:name="_Toc18052"/>
      <w:r>
        <w:rPr>
          <w:rFonts w:hint="eastAsia" w:ascii="宋体" w:hAnsi="宋体" w:eastAsia="宋体"/>
          <w:b/>
          <w:color w:val="auto"/>
          <w:sz w:val="24"/>
          <w:szCs w:val="18"/>
          <w:highlight w:val="none"/>
        </w:rPr>
        <w:t>四、报价要求</w:t>
      </w:r>
      <w:bookmarkEnd w:id="59"/>
      <w:bookmarkEnd w:id="60"/>
      <w:bookmarkEnd w:id="61"/>
    </w:p>
    <w:p w14:paraId="3912C5E8">
      <w:pPr>
        <w:spacing w:line="360" w:lineRule="auto"/>
        <w:ind w:firstLine="437"/>
        <w:outlineLvl w:val="1"/>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1、</w:t>
      </w:r>
      <w:r>
        <w:rPr>
          <w:rFonts w:hint="eastAsia" w:ascii="宋体" w:hAnsi="宋体" w:eastAsia="宋体"/>
          <w:b w:val="0"/>
          <w:bCs/>
          <w:color w:val="auto"/>
          <w:sz w:val="24"/>
          <w:szCs w:val="18"/>
          <w:highlight w:val="none"/>
        </w:rPr>
        <w:t>本次</w:t>
      </w:r>
      <w:r>
        <w:rPr>
          <w:rFonts w:hint="eastAsia" w:ascii="宋体" w:hAnsi="宋体" w:eastAsia="宋体"/>
          <w:b w:val="0"/>
          <w:bCs/>
          <w:color w:val="auto"/>
          <w:sz w:val="24"/>
          <w:szCs w:val="18"/>
          <w:highlight w:val="none"/>
          <w:lang w:val="en-US" w:eastAsia="zh-CN"/>
        </w:rPr>
        <w:t>采购</w:t>
      </w:r>
      <w:r>
        <w:rPr>
          <w:rFonts w:hint="eastAsia" w:ascii="宋体" w:hAnsi="宋体" w:eastAsia="宋体"/>
          <w:b w:val="0"/>
          <w:bCs/>
          <w:color w:val="auto"/>
          <w:sz w:val="24"/>
          <w:szCs w:val="18"/>
          <w:highlight w:val="none"/>
        </w:rPr>
        <w:t>采用总价承包，</w:t>
      </w:r>
      <w:r>
        <w:rPr>
          <w:rFonts w:hint="eastAsia" w:ascii="宋体" w:hAnsi="宋体" w:eastAsia="宋体"/>
          <w:b w:val="0"/>
          <w:bCs/>
          <w:color w:val="auto"/>
          <w:sz w:val="24"/>
          <w:szCs w:val="18"/>
          <w:highlight w:val="none"/>
          <w:lang w:val="en-US" w:eastAsia="zh-CN"/>
        </w:rPr>
        <w:t>报价</w:t>
      </w:r>
      <w:r>
        <w:rPr>
          <w:rFonts w:hint="eastAsia" w:ascii="宋体" w:hAnsi="宋体" w:eastAsia="宋体"/>
          <w:b w:val="0"/>
          <w:bCs/>
          <w:color w:val="auto"/>
          <w:sz w:val="24"/>
          <w:szCs w:val="18"/>
          <w:highlight w:val="none"/>
        </w:rPr>
        <w:t>包含了监理人为完成本合同监理任务所需的监理人员费、监理办公设施费、监理交通设施费、监理生活设施费、平行检测费等其它一切费用，并考虑了应承担的风险。</w:t>
      </w:r>
    </w:p>
    <w:p w14:paraId="0AA8B938">
      <w:pPr>
        <w:spacing w:line="360" w:lineRule="auto"/>
        <w:ind w:firstLine="437"/>
        <w:outlineLvl w:val="1"/>
        <w:rPr>
          <w:rFonts w:hint="eastAsia" w:ascii="宋体" w:hAnsi="宋体" w:eastAsia="宋体"/>
          <w:b w:val="0"/>
          <w:bCs/>
          <w:color w:val="auto"/>
          <w:sz w:val="24"/>
          <w:szCs w:val="18"/>
          <w:highlight w:val="none"/>
          <w:lang w:val="en-US" w:eastAsia="zh-CN"/>
        </w:rPr>
      </w:pPr>
      <w:r>
        <w:rPr>
          <w:rFonts w:hint="eastAsia" w:ascii="宋体" w:hAnsi="宋体" w:eastAsia="宋体"/>
          <w:b w:val="0"/>
          <w:bCs/>
          <w:color w:val="auto"/>
          <w:sz w:val="24"/>
          <w:szCs w:val="18"/>
          <w:highlight w:val="none"/>
          <w:lang w:val="en-US" w:eastAsia="zh-CN"/>
        </w:rPr>
        <w:t>2、监理办公设施费、监理交通设施费、监理生活设施费报价，包括监理设施折旧费及燃料消耗、维护等使用费，包括企业管理费、利润、税金和履行监理合同义务的监理设施使用发生的一切费用。</w:t>
      </w:r>
    </w:p>
    <w:p w14:paraId="6E04221F">
      <w:pPr>
        <w:spacing w:line="360" w:lineRule="auto"/>
        <w:ind w:firstLine="437"/>
        <w:outlineLvl w:val="1"/>
        <w:rPr>
          <w:rFonts w:hint="eastAsia" w:ascii="宋体" w:hAnsi="宋体" w:eastAsia="宋体"/>
          <w:b w:val="0"/>
          <w:bCs/>
          <w:color w:val="auto"/>
          <w:sz w:val="24"/>
          <w:szCs w:val="18"/>
          <w:highlight w:val="none"/>
        </w:rPr>
      </w:pPr>
      <w:r>
        <w:rPr>
          <w:rFonts w:hint="eastAsia" w:ascii="宋体" w:hAnsi="宋体" w:eastAsia="宋体"/>
          <w:b w:val="0"/>
          <w:bCs/>
          <w:color w:val="auto"/>
          <w:sz w:val="24"/>
          <w:szCs w:val="18"/>
          <w:highlight w:val="none"/>
          <w:lang w:val="en-US" w:eastAsia="zh-CN"/>
        </w:rPr>
        <w:t>3、除另有规定外，本项目监理人采用现场测量手段进行平行检测和需要委托具有相应资质的工程质量检测机构进行的平行检测，相应费用均含在响应报价之中。</w:t>
      </w:r>
      <w:r>
        <w:rPr>
          <w:rFonts w:hint="eastAsia" w:ascii="宋体" w:hAnsi="宋体" w:eastAsia="宋体"/>
          <w:b w:val="0"/>
          <w:bCs/>
          <w:color w:val="auto"/>
          <w:sz w:val="24"/>
          <w:szCs w:val="18"/>
          <w:highlight w:val="none"/>
        </w:rPr>
        <w:t xml:space="preserve"> </w:t>
      </w:r>
    </w:p>
    <w:p w14:paraId="36DCAD71">
      <w:pPr>
        <w:spacing w:line="360" w:lineRule="auto"/>
        <w:ind w:firstLine="437"/>
        <w:outlineLvl w:val="1"/>
        <w:rPr>
          <w:rFonts w:hint="eastAsia" w:ascii="宋体" w:hAnsi="宋体" w:eastAsia="宋体"/>
          <w:bCs/>
          <w:color w:val="auto"/>
          <w:sz w:val="24"/>
          <w:szCs w:val="18"/>
          <w:highlight w:val="none"/>
          <w:lang w:val="en-US" w:eastAsia="zh-CN"/>
        </w:rPr>
      </w:pPr>
      <w:r>
        <w:rPr>
          <w:rFonts w:hint="eastAsia" w:ascii="宋体" w:hAnsi="宋体" w:eastAsia="宋体"/>
          <w:b w:val="0"/>
          <w:bCs/>
          <w:color w:val="auto"/>
          <w:sz w:val="24"/>
          <w:szCs w:val="18"/>
          <w:highlight w:val="none"/>
          <w:lang w:val="en-US" w:eastAsia="zh-CN"/>
        </w:rPr>
        <w:t>4、报价货币为人民币。</w:t>
      </w:r>
    </w:p>
    <w:p w14:paraId="2F9E0078">
      <w:pPr>
        <w:spacing w:line="360" w:lineRule="auto"/>
        <w:ind w:firstLine="437"/>
        <w:outlineLvl w:val="1"/>
        <w:rPr>
          <w:rFonts w:hint="eastAsia" w:ascii="宋体" w:hAnsi="宋体" w:eastAsia="宋体"/>
          <w:b/>
          <w:color w:val="auto"/>
          <w:sz w:val="24"/>
          <w:szCs w:val="18"/>
          <w:highlight w:val="none"/>
        </w:rPr>
      </w:pPr>
      <w:bookmarkStart w:id="62" w:name="_Toc23590"/>
      <w:bookmarkStart w:id="63" w:name="_Toc3530"/>
      <w:bookmarkStart w:id="64" w:name="_Toc23875"/>
      <w:r>
        <w:rPr>
          <w:rFonts w:hint="eastAsia" w:ascii="宋体" w:hAnsi="宋体" w:eastAsia="宋体"/>
          <w:b/>
          <w:color w:val="auto"/>
          <w:sz w:val="24"/>
          <w:szCs w:val="18"/>
          <w:highlight w:val="none"/>
        </w:rPr>
        <w:t>五、其他要求</w:t>
      </w:r>
      <w:bookmarkEnd w:id="62"/>
      <w:bookmarkEnd w:id="63"/>
      <w:bookmarkEnd w:id="64"/>
    </w:p>
    <w:p w14:paraId="1B74A015">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 xml:space="preserve"> 拟投入本项目其他主要人员最低数量和资格要求</w:t>
      </w:r>
    </w:p>
    <w:p w14:paraId="566D4A01">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（总监理工程师除外）</w:t>
      </w:r>
    </w:p>
    <w:tbl>
      <w:tblPr>
        <w:tblStyle w:val="4"/>
        <w:tblW w:w="4998" w:type="pct"/>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99"/>
        <w:gridCol w:w="2655"/>
        <w:gridCol w:w="1106"/>
        <w:gridCol w:w="3106"/>
        <w:gridCol w:w="853"/>
      </w:tblGrid>
      <w:tr w14:paraId="4860D2B0">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03" w:hRule="atLeast"/>
          <w:jc w:val="center"/>
        </w:trPr>
        <w:tc>
          <w:tcPr>
            <w:tcW w:w="469" w:type="pct"/>
            <w:noWrap w:val="0"/>
            <w:vAlign w:val="center"/>
          </w:tcPr>
          <w:p w14:paraId="3EB3D8CC">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558" w:type="pct"/>
            <w:noWrap w:val="0"/>
            <w:vAlign w:val="center"/>
          </w:tcPr>
          <w:p w14:paraId="3DD4739D">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岗位</w:t>
            </w:r>
          </w:p>
        </w:tc>
        <w:tc>
          <w:tcPr>
            <w:tcW w:w="649" w:type="pct"/>
            <w:noWrap w:val="0"/>
            <w:vAlign w:val="center"/>
          </w:tcPr>
          <w:p w14:paraId="1691EBC6">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数量</w:t>
            </w:r>
          </w:p>
          <w:p w14:paraId="6B273074">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（岗位）</w:t>
            </w:r>
          </w:p>
        </w:tc>
        <w:tc>
          <w:tcPr>
            <w:tcW w:w="1822" w:type="pct"/>
            <w:noWrap w:val="0"/>
            <w:vAlign w:val="center"/>
          </w:tcPr>
          <w:p w14:paraId="4543C428">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岗位人员资格证书要求</w:t>
            </w:r>
          </w:p>
        </w:tc>
        <w:tc>
          <w:tcPr>
            <w:tcW w:w="500" w:type="pct"/>
            <w:noWrap w:val="0"/>
            <w:vAlign w:val="center"/>
          </w:tcPr>
          <w:p w14:paraId="15E44353">
            <w:pPr>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备注</w:t>
            </w:r>
          </w:p>
        </w:tc>
      </w:tr>
      <w:tr w14:paraId="79988075">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03" w:hRule="atLeast"/>
          <w:jc w:val="center"/>
        </w:trPr>
        <w:tc>
          <w:tcPr>
            <w:tcW w:w="469" w:type="pct"/>
            <w:noWrap w:val="0"/>
            <w:vAlign w:val="center"/>
          </w:tcPr>
          <w:p w14:paraId="147A57EA">
            <w:pPr>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w:t>
            </w:r>
          </w:p>
        </w:tc>
        <w:tc>
          <w:tcPr>
            <w:tcW w:w="1558" w:type="pct"/>
            <w:noWrap w:val="0"/>
            <w:vAlign w:val="center"/>
          </w:tcPr>
          <w:p w14:paraId="4E15F8CC">
            <w:pPr>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施工监理工程师</w:t>
            </w:r>
          </w:p>
        </w:tc>
        <w:tc>
          <w:tcPr>
            <w:tcW w:w="649" w:type="pct"/>
            <w:noWrap w:val="0"/>
            <w:vAlign w:val="center"/>
          </w:tcPr>
          <w:p w14:paraId="668A82E2">
            <w:pPr>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p>
        </w:tc>
        <w:tc>
          <w:tcPr>
            <w:tcW w:w="1822" w:type="pct"/>
            <w:noWrap w:val="0"/>
            <w:vAlign w:val="center"/>
          </w:tcPr>
          <w:p w14:paraId="505AF75C">
            <w:pPr>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《中华人民共和国监理工程师注册证书》（水利工程施工监理专业）</w:t>
            </w:r>
          </w:p>
        </w:tc>
        <w:tc>
          <w:tcPr>
            <w:tcW w:w="500" w:type="pct"/>
            <w:vMerge w:val="restart"/>
            <w:noWrap w:val="0"/>
            <w:vAlign w:val="center"/>
          </w:tcPr>
          <w:p w14:paraId="60B2C13E">
            <w:pPr>
              <w:jc w:val="center"/>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rPr>
              <w:t>不得兼任</w:t>
            </w:r>
          </w:p>
        </w:tc>
      </w:tr>
      <w:tr w14:paraId="73ECA982">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239" w:hRule="atLeast"/>
          <w:jc w:val="center"/>
        </w:trPr>
        <w:tc>
          <w:tcPr>
            <w:tcW w:w="469" w:type="pct"/>
            <w:noWrap w:val="0"/>
            <w:vAlign w:val="center"/>
          </w:tcPr>
          <w:p w14:paraId="7C161B55">
            <w:pPr>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p>
        </w:tc>
        <w:tc>
          <w:tcPr>
            <w:tcW w:w="1558" w:type="pct"/>
            <w:noWrap w:val="0"/>
            <w:vAlign w:val="center"/>
          </w:tcPr>
          <w:p w14:paraId="7FAAAFB7">
            <w:pPr>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合同计量工程师</w:t>
            </w:r>
          </w:p>
        </w:tc>
        <w:tc>
          <w:tcPr>
            <w:tcW w:w="649" w:type="pct"/>
            <w:noWrap w:val="0"/>
            <w:vAlign w:val="center"/>
          </w:tcPr>
          <w:p w14:paraId="5BD14286">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822" w:type="pct"/>
            <w:noWrap w:val="0"/>
            <w:vAlign w:val="center"/>
          </w:tcPr>
          <w:p w14:paraId="3A5AAF3A">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具有二级及以上水利造价工程师注册证书或中华人民共和国监理工程师注册证书（水利工程）</w:t>
            </w:r>
          </w:p>
        </w:tc>
        <w:tc>
          <w:tcPr>
            <w:tcW w:w="500" w:type="pct"/>
            <w:vMerge w:val="continue"/>
            <w:noWrap w:val="0"/>
            <w:vAlign w:val="center"/>
          </w:tcPr>
          <w:p w14:paraId="1B27EABD">
            <w:pPr>
              <w:jc w:val="center"/>
              <w:rPr>
                <w:rFonts w:hint="eastAsia" w:ascii="宋体" w:hAnsi="宋体" w:eastAsia="宋体" w:cs="宋体"/>
                <w:color w:val="auto"/>
                <w:sz w:val="24"/>
                <w:szCs w:val="24"/>
                <w:highlight w:val="none"/>
              </w:rPr>
            </w:pPr>
          </w:p>
        </w:tc>
      </w:tr>
      <w:tr w14:paraId="16B71AA7">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01" w:hRule="atLeast"/>
          <w:jc w:val="center"/>
        </w:trPr>
        <w:tc>
          <w:tcPr>
            <w:tcW w:w="469" w:type="pct"/>
            <w:noWrap w:val="0"/>
            <w:vAlign w:val="center"/>
          </w:tcPr>
          <w:p w14:paraId="6CB0C21F">
            <w:pPr>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p>
        </w:tc>
        <w:tc>
          <w:tcPr>
            <w:tcW w:w="1558" w:type="pct"/>
            <w:noWrap w:val="0"/>
            <w:vAlign w:val="center"/>
          </w:tcPr>
          <w:p w14:paraId="25971B1E">
            <w:pPr>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机电及金属结构设备制造监理工程师</w:t>
            </w:r>
          </w:p>
        </w:tc>
        <w:tc>
          <w:tcPr>
            <w:tcW w:w="649" w:type="pct"/>
            <w:noWrap w:val="0"/>
            <w:vAlign w:val="center"/>
          </w:tcPr>
          <w:p w14:paraId="59D85BCE">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822" w:type="pct"/>
            <w:noWrap w:val="0"/>
            <w:vAlign w:val="center"/>
          </w:tcPr>
          <w:p w14:paraId="43022BC8">
            <w:pPr>
              <w:jc w:val="left"/>
              <w:rPr>
                <w:rFonts w:hint="eastAsia" w:ascii="宋体" w:hAnsi="宋体" w:eastAsia="宋体" w:cs="宋体"/>
                <w:b/>
                <w:color w:val="auto"/>
                <w:sz w:val="24"/>
                <w:szCs w:val="24"/>
                <w:highlight w:val="none"/>
              </w:rPr>
            </w:pPr>
            <w:r>
              <w:rPr>
                <w:rFonts w:hint="eastAsia" w:ascii="宋体" w:hAnsi="宋体" w:eastAsia="宋体" w:cs="宋体"/>
                <w:bCs/>
                <w:color w:val="auto"/>
                <w:sz w:val="24"/>
                <w:szCs w:val="24"/>
                <w:highlight w:val="none"/>
              </w:rPr>
              <w:t>《中华人民共和国监理工程师注册证书》（机电及金属结构设备制造监理专业）</w:t>
            </w:r>
          </w:p>
        </w:tc>
        <w:tc>
          <w:tcPr>
            <w:tcW w:w="500" w:type="pct"/>
            <w:vMerge w:val="continue"/>
            <w:noWrap w:val="0"/>
            <w:vAlign w:val="center"/>
          </w:tcPr>
          <w:p w14:paraId="56FF37FA">
            <w:pPr>
              <w:jc w:val="center"/>
              <w:rPr>
                <w:rFonts w:hint="eastAsia" w:ascii="宋体" w:hAnsi="宋体" w:eastAsia="宋体" w:cs="宋体"/>
                <w:color w:val="auto"/>
                <w:sz w:val="24"/>
                <w:szCs w:val="24"/>
                <w:highlight w:val="none"/>
              </w:rPr>
            </w:pPr>
          </w:p>
        </w:tc>
      </w:tr>
      <w:tr w14:paraId="10A74F64">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739" w:hRule="atLeast"/>
          <w:jc w:val="center"/>
        </w:trPr>
        <w:tc>
          <w:tcPr>
            <w:tcW w:w="469" w:type="pct"/>
            <w:noWrap w:val="0"/>
            <w:vAlign w:val="center"/>
          </w:tcPr>
          <w:p w14:paraId="12E378D9">
            <w:pPr>
              <w:jc w:val="center"/>
              <w:rPr>
                <w:rFonts w:hint="eastAsia" w:ascii="宋体" w:hAnsi="宋体" w:eastAsia="宋体" w:cs="宋体"/>
                <w:b/>
                <w:bCs/>
                <w:color w:val="auto"/>
                <w:sz w:val="24"/>
                <w:szCs w:val="24"/>
                <w:highlight w:val="none"/>
                <w:lang w:val="en-US" w:eastAsia="zh-CN"/>
              </w:rPr>
            </w:pPr>
          </w:p>
        </w:tc>
        <w:tc>
          <w:tcPr>
            <w:tcW w:w="1558" w:type="pct"/>
            <w:noWrap w:val="0"/>
            <w:vAlign w:val="center"/>
          </w:tcPr>
          <w:p w14:paraId="0046077B">
            <w:pPr>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合计</w:t>
            </w:r>
          </w:p>
        </w:tc>
        <w:tc>
          <w:tcPr>
            <w:tcW w:w="649" w:type="pct"/>
            <w:noWrap w:val="0"/>
            <w:vAlign w:val="center"/>
          </w:tcPr>
          <w:p w14:paraId="08B3B554">
            <w:pPr>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4</w:t>
            </w:r>
          </w:p>
        </w:tc>
        <w:tc>
          <w:tcPr>
            <w:tcW w:w="1822" w:type="pct"/>
            <w:noWrap w:val="0"/>
            <w:vAlign w:val="center"/>
          </w:tcPr>
          <w:p w14:paraId="67F3E48A">
            <w:pPr>
              <w:jc w:val="left"/>
              <w:rPr>
                <w:rFonts w:hint="eastAsia" w:ascii="宋体" w:hAnsi="宋体" w:eastAsia="宋体" w:cs="宋体"/>
                <w:b/>
                <w:bCs/>
                <w:color w:val="auto"/>
                <w:sz w:val="24"/>
                <w:szCs w:val="24"/>
                <w:highlight w:val="none"/>
              </w:rPr>
            </w:pPr>
          </w:p>
        </w:tc>
        <w:tc>
          <w:tcPr>
            <w:tcW w:w="500" w:type="pct"/>
            <w:noWrap w:val="0"/>
            <w:vAlign w:val="center"/>
          </w:tcPr>
          <w:p w14:paraId="40EAAD21">
            <w:pPr>
              <w:jc w:val="center"/>
              <w:rPr>
                <w:rFonts w:hint="eastAsia" w:ascii="宋体" w:hAnsi="宋体" w:eastAsia="宋体" w:cs="宋体"/>
                <w:color w:val="auto"/>
                <w:sz w:val="24"/>
                <w:szCs w:val="24"/>
                <w:highlight w:val="none"/>
              </w:rPr>
            </w:pPr>
          </w:p>
        </w:tc>
      </w:tr>
    </w:tbl>
    <w:p w14:paraId="11A6AF02">
      <w:r>
        <w:rPr>
          <w:rFonts w:hint="eastAsia" w:ascii="宋体" w:hAnsi="宋体" w:eastAsia="宋体" w:cs="宋体"/>
          <w:b/>
          <w:color w:val="auto"/>
          <w:sz w:val="24"/>
          <w:szCs w:val="24"/>
          <w:highlight w:val="none"/>
        </w:rPr>
        <w:t>备注：以上人员为基本配置，</w:t>
      </w:r>
      <w:r>
        <w:rPr>
          <w:rFonts w:hint="eastAsia" w:ascii="宋体" w:hAnsi="宋体" w:eastAsia="宋体" w:cs="宋体"/>
          <w:b/>
          <w:color w:val="auto"/>
          <w:sz w:val="24"/>
          <w:szCs w:val="24"/>
          <w:highlight w:val="none"/>
          <w:lang w:val="en-US" w:eastAsia="zh-CN"/>
        </w:rPr>
        <w:t>供应商</w:t>
      </w:r>
      <w:r>
        <w:rPr>
          <w:rFonts w:hint="eastAsia" w:ascii="宋体" w:hAnsi="宋体" w:eastAsia="宋体" w:cs="宋体"/>
          <w:b/>
          <w:color w:val="auto"/>
          <w:sz w:val="24"/>
          <w:szCs w:val="24"/>
          <w:highlight w:val="none"/>
        </w:rPr>
        <w:t>可自行增加，在工程施工过程中应能够满足现场监理工作需要和</w:t>
      </w:r>
      <w:r>
        <w:rPr>
          <w:rFonts w:hint="eastAsia" w:ascii="宋体" w:hAnsi="宋体" w:eastAsia="宋体" w:cs="宋体"/>
          <w:b/>
          <w:color w:val="auto"/>
          <w:sz w:val="24"/>
          <w:szCs w:val="24"/>
          <w:highlight w:val="none"/>
          <w:lang w:val="en-US" w:eastAsia="zh-CN"/>
        </w:rPr>
        <w:t>采购</w:t>
      </w:r>
      <w:r>
        <w:rPr>
          <w:rFonts w:hint="eastAsia" w:ascii="宋体" w:hAnsi="宋体" w:eastAsia="宋体" w:cs="宋体"/>
          <w:b/>
          <w:color w:val="auto"/>
          <w:sz w:val="24"/>
          <w:szCs w:val="24"/>
          <w:highlight w:val="none"/>
        </w:rPr>
        <w:t>人要求。机电及金属结构设备制造监理工程师在项目实施过程中根据工程需要或</w:t>
      </w:r>
      <w:r>
        <w:rPr>
          <w:rFonts w:hint="eastAsia" w:ascii="宋体" w:hAnsi="宋体" w:eastAsia="宋体" w:cs="宋体"/>
          <w:b/>
          <w:color w:val="auto"/>
          <w:sz w:val="24"/>
          <w:szCs w:val="24"/>
          <w:highlight w:val="none"/>
          <w:lang w:val="en-US" w:eastAsia="zh-CN"/>
        </w:rPr>
        <w:t>采购</w:t>
      </w:r>
      <w:r>
        <w:rPr>
          <w:rFonts w:hint="eastAsia" w:ascii="宋体" w:hAnsi="宋体" w:eastAsia="宋体" w:cs="宋体"/>
          <w:b/>
          <w:color w:val="auto"/>
          <w:sz w:val="24"/>
          <w:szCs w:val="24"/>
          <w:highlight w:val="none"/>
        </w:rPr>
        <w:t>人要求进场，其余人员在施工期间根据批复的监理人员进场计划驻工地现场工作。工程</w:t>
      </w:r>
      <w:r>
        <w:rPr>
          <w:rFonts w:hint="eastAsia" w:ascii="宋体" w:hAnsi="宋体" w:eastAsia="宋体" w:cs="宋体"/>
          <w:b/>
          <w:color w:val="auto"/>
          <w:sz w:val="24"/>
          <w:szCs w:val="24"/>
          <w:highlight w:val="none"/>
          <w:lang w:val="en-US" w:eastAsia="zh-CN"/>
        </w:rPr>
        <w:t>竣工</w:t>
      </w:r>
      <w:r>
        <w:rPr>
          <w:rFonts w:hint="eastAsia" w:ascii="宋体" w:hAnsi="宋体" w:eastAsia="宋体" w:cs="宋体"/>
          <w:b/>
          <w:color w:val="auto"/>
          <w:sz w:val="24"/>
          <w:szCs w:val="24"/>
          <w:highlight w:val="none"/>
        </w:rPr>
        <w:t>验收后，委托人不再对监理人员进行驻场考勤（缺陷责任期内因处理缺陷工作需驻场监理的除外）</w:t>
      </w:r>
      <w:r>
        <w:rPr>
          <w:rFonts w:hint="eastAsia" w:ascii="宋体" w:hAnsi="宋体" w:eastAsia="宋体" w:cs="宋体"/>
          <w:b/>
          <w:color w:val="auto"/>
          <w:sz w:val="24"/>
          <w:szCs w:val="24"/>
          <w:highlight w:val="none"/>
          <w:lang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CD5258"/>
    <w:rsid w:val="52CD5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仿宋_GB2312" w:hAnsi="@仿宋_GB2312" w:eastAsia="@仿宋_GB2312" w:cs="@仿宋_GB2312"/>
      <w:kern w:val="2"/>
      <w:sz w:val="21"/>
      <w:lang w:val="en-US" w:eastAsia="zh-CN" w:bidi="ar-SA"/>
    </w:rPr>
  </w:style>
  <w:style w:type="paragraph" w:styleId="2">
    <w:name w:val="heading 3"/>
    <w:basedOn w:val="1"/>
    <w:next w:val="1"/>
    <w:semiHidden/>
    <w:unhideWhenUsed/>
    <w:qFormat/>
    <w:uiPriority w:val="9"/>
    <w:pPr>
      <w:keepNext/>
      <w:keepLines/>
      <w:spacing w:before="260" w:after="260" w:line="416" w:lineRule="auto"/>
      <w:outlineLvl w:val="2"/>
    </w:pPr>
    <w:rPr>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D&amp;L"/>
    <w:basedOn w:val="3"/>
    <w:autoRedefine/>
    <w:qFormat/>
    <w:uiPriority w:val="0"/>
    <w:pPr>
      <w:pBdr>
        <w:bottom w:val="thinThickSmallGap" w:color="auto" w:sz="18" w:space="1"/>
      </w:pBdr>
      <w:adjustRightInd w:val="0"/>
      <w:snapToGrid/>
      <w:spacing w:line="240" w:lineRule="atLeast"/>
      <w:textAlignment w:val="baseline"/>
    </w:pPr>
    <w:rPr>
      <w:kern w:val="0"/>
      <w:sz w:val="24"/>
      <w:szCs w:val="20"/>
    </w:rPr>
  </w:style>
  <w:style w:type="paragraph" w:customStyle="1" w:styleId="7">
    <w:name w:val="xl31"/>
    <w:basedOn w:val="1"/>
    <w:autoRedefine/>
    <w:qFormat/>
    <w:uiPriority w:val="0"/>
    <w:pPr>
      <w:widowControl/>
      <w:spacing w:before="100" w:beforeAutospacing="1" w:after="100" w:afterAutospacing="1"/>
      <w:jc w:val="center"/>
    </w:pPr>
    <w:rPr>
      <w:b/>
      <w:bCs/>
      <w:kern w:val="0"/>
      <w:sz w:val="28"/>
      <w:szCs w:val="28"/>
    </w:rPr>
  </w:style>
  <w:style w:type="paragraph" w:customStyle="1" w:styleId="8">
    <w:name w:val="Normal_0"/>
    <w:autoRedefine/>
    <w:qFormat/>
    <w:uiPriority w:val="0"/>
    <w:rPr>
      <w:rFonts w:ascii="Times New Roman" w:hAnsi="Times New Roman" w:eastAsia="Times New Roman" w:cs="Times New Roman"/>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2025-09-11T05:26:00Z</dcterms:created>
  <dc:creator>宁玉斌</dc:creator>
  <cp:lastModifiedBy>宁玉斌</cp:lastModifiedBy>
  <dcterms:modified xsi:type="dcterms:W3CDTF">2025-09-11T05:27:51Z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7E55A53210514B3AA43845794250EC8F_11</vt:lpwstr>
  </property>
  <property fmtid="{D5CDD505-2E9C-101B-9397-08002B2CF9AE}" pid="4" name="KSOTemplateDocerSaveRecord">
    <vt:lpwstr>eyJoZGlkIjoiMWMxM2FkODJjYzY5ZjVkMTU0NTg4Zjg2MTMzNDE3N2QiLCJ1c2VySWQiOiIyMDMxNTU2MTUifQ==</vt:lpwstr>
  </property>
</Properties>
</file>