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28BAF0">
      <w:pPr>
        <w:jc w:val="center"/>
        <w:rPr>
          <w:rFonts w:hint="eastAsia"/>
          <w:b/>
          <w:bCs/>
          <w:sz w:val="32"/>
          <w:szCs w:val="32"/>
          <w:u w:val="none"/>
          <w:lang w:val="en-US" w:eastAsia="zh-CN"/>
        </w:rPr>
      </w:pPr>
      <w:r>
        <w:rPr>
          <w:rFonts w:hint="eastAsia"/>
          <w:b/>
          <w:bCs/>
          <w:sz w:val="32"/>
          <w:szCs w:val="32"/>
          <w:u w:val="none"/>
          <w:lang w:val="en-US" w:eastAsia="zh-CN"/>
        </w:rPr>
        <w:t>茨淮新河治理工程信息化项目施工标</w:t>
      </w:r>
    </w:p>
    <w:p w14:paraId="1CA82572">
      <w:pPr>
        <w:keepNext w:val="0"/>
        <w:keepLines w:val="0"/>
        <w:pageBreakBefore w:val="0"/>
        <w:widowControl w:val="0"/>
        <w:kinsoku/>
        <w:wordWrap/>
        <w:overflowPunct/>
        <w:topLinePunct w:val="0"/>
        <w:autoSpaceDE/>
        <w:autoSpaceDN/>
        <w:bidi w:val="0"/>
        <w:adjustRightInd/>
        <w:snapToGrid/>
        <w:jc w:val="center"/>
        <w:textAlignment w:val="auto"/>
        <w:outlineLvl w:val="0"/>
        <w:rPr>
          <w:rFonts w:hint="eastAsia"/>
          <w:b/>
          <w:bCs/>
          <w:sz w:val="32"/>
          <w:szCs w:val="32"/>
          <w:lang w:val="en-US" w:eastAsia="zh-CN"/>
        </w:rPr>
      </w:pPr>
      <w:r>
        <w:rPr>
          <w:rFonts w:hint="eastAsia"/>
          <w:b/>
          <w:bCs/>
          <w:sz w:val="32"/>
          <w:szCs w:val="32"/>
          <w:lang w:val="en-US" w:eastAsia="zh-CN"/>
        </w:rPr>
        <w:t>评标报告审查报告</w:t>
      </w:r>
    </w:p>
    <w:p w14:paraId="27D3DCAA">
      <w:pPr>
        <w:adjustRightInd w:val="0"/>
        <w:snapToGrid w:val="0"/>
        <w:spacing w:line="600" w:lineRule="exact"/>
        <w:ind w:firstLine="560" w:firstLineChars="200"/>
        <w:rPr>
          <w:rFonts w:ascii="Times New Roman" w:hAnsi="Times New Roman" w:cs="Times New Roman"/>
          <w:sz w:val="28"/>
          <w:szCs w:val="28"/>
          <w:lang w:bidi="ar"/>
        </w:rPr>
      </w:pPr>
      <w:r>
        <w:rPr>
          <w:rFonts w:hint="eastAsia" w:ascii="Times New Roman" w:hAnsi="Times New Roman" w:cs="Times New Roman"/>
          <w:sz w:val="28"/>
          <w:szCs w:val="28"/>
          <w:lang w:val="en-US" w:eastAsia="zh-CN" w:bidi="ar"/>
        </w:rPr>
        <w:t>根据《国家发展改革委等部门关于严格执行招标投标法规制度进一步规范招标投标主体行为的若干意见》（发改法规规〔2022〕1117号）、《招标人主体责任履行指引》（发改法规</w:t>
      </w:r>
      <w:bookmarkStart w:id="0" w:name="_GoBack"/>
      <w:bookmarkEnd w:id="0"/>
      <w:r>
        <w:rPr>
          <w:rFonts w:hint="eastAsia" w:ascii="Times New Roman" w:hAnsi="Times New Roman" w:cs="Times New Roman"/>
          <w:sz w:val="28"/>
          <w:szCs w:val="28"/>
          <w:lang w:val="en-US" w:eastAsia="zh-CN" w:bidi="ar"/>
        </w:rPr>
        <w:t>〔2025〕1358号）等规定，</w:t>
      </w:r>
      <w:r>
        <w:rPr>
          <w:rFonts w:hint="eastAsia" w:ascii="Times New Roman" w:hAnsi="Times New Roman" w:cs="Times New Roman"/>
          <w:sz w:val="28"/>
          <w:szCs w:val="28"/>
          <w:u w:val="single"/>
          <w:lang w:val="en-US" w:eastAsia="zh-CN" w:bidi="ar"/>
        </w:rPr>
        <w:t>2026</w:t>
      </w:r>
      <w:r>
        <w:rPr>
          <w:rFonts w:ascii="Times New Roman" w:hAnsi="Times New Roman" w:cs="Times New Roman"/>
          <w:sz w:val="28"/>
          <w:szCs w:val="28"/>
          <w:highlight w:val="none"/>
          <w:lang w:bidi="ar"/>
        </w:rPr>
        <w:t>年</w:t>
      </w:r>
      <w:r>
        <w:rPr>
          <w:rFonts w:hint="eastAsia" w:ascii="Times New Roman" w:hAnsi="Times New Roman" w:cs="Times New Roman"/>
          <w:sz w:val="28"/>
          <w:szCs w:val="28"/>
          <w:u w:val="single"/>
          <w:lang w:val="en-US" w:eastAsia="zh-CN" w:bidi="ar"/>
        </w:rPr>
        <w:t>5</w:t>
      </w:r>
      <w:r>
        <w:rPr>
          <w:rFonts w:ascii="Times New Roman" w:hAnsi="Times New Roman" w:cs="Times New Roman"/>
          <w:sz w:val="28"/>
          <w:szCs w:val="28"/>
          <w:highlight w:val="none"/>
          <w:lang w:bidi="ar"/>
        </w:rPr>
        <w:t>月</w:t>
      </w:r>
      <w:r>
        <w:rPr>
          <w:rFonts w:hint="eastAsia" w:ascii="Times New Roman" w:hAnsi="Times New Roman" w:cs="Times New Roman"/>
          <w:sz w:val="28"/>
          <w:szCs w:val="28"/>
          <w:u w:val="single"/>
          <w:lang w:val="en-US" w:eastAsia="zh-CN" w:bidi="ar"/>
        </w:rPr>
        <w:t>12</w:t>
      </w:r>
      <w:r>
        <w:rPr>
          <w:rFonts w:ascii="Times New Roman" w:hAnsi="Times New Roman" w:cs="Times New Roman"/>
          <w:sz w:val="28"/>
          <w:szCs w:val="28"/>
          <w:highlight w:val="none"/>
          <w:lang w:bidi="ar"/>
        </w:rPr>
        <w:t>日</w:t>
      </w:r>
      <w:r>
        <w:rPr>
          <w:rFonts w:ascii="Times New Roman" w:hAnsi="Times New Roman" w:cs="Times New Roman"/>
          <w:sz w:val="28"/>
          <w:szCs w:val="28"/>
          <w:lang w:bidi="ar"/>
        </w:rPr>
        <w:t>，</w:t>
      </w:r>
      <w:r>
        <w:rPr>
          <w:rFonts w:hint="default" w:ascii="Times New Roman" w:hAnsi="Times New Roman" w:cs="Times New Roman"/>
          <w:sz w:val="28"/>
          <w:szCs w:val="28"/>
          <w:u w:val="single"/>
          <w:lang w:bidi="ar"/>
        </w:rPr>
        <w:t>安徽省茨淮新河工程管理局</w:t>
      </w:r>
      <w:r>
        <w:rPr>
          <w:rFonts w:hint="eastAsia" w:ascii="Times New Roman" w:hAnsi="Times New Roman" w:cs="Times New Roman"/>
          <w:sz w:val="28"/>
          <w:szCs w:val="28"/>
          <w:lang w:eastAsia="zh-CN" w:bidi="ar"/>
        </w:rPr>
        <w:t>在</w:t>
      </w:r>
      <w:r>
        <w:rPr>
          <w:rFonts w:hint="eastAsia" w:ascii="Times New Roman" w:hAnsi="Times New Roman" w:cs="Times New Roman"/>
          <w:sz w:val="28"/>
          <w:szCs w:val="28"/>
          <w:u w:val="single"/>
          <w:lang w:val="en-US" w:eastAsia="zh-CN" w:bidi="ar"/>
        </w:rPr>
        <w:t>蚌埠市怀远县</w:t>
      </w:r>
      <w:r>
        <w:rPr>
          <w:rFonts w:ascii="Times New Roman" w:hAnsi="Times New Roman" w:cs="Times New Roman"/>
          <w:sz w:val="28"/>
          <w:szCs w:val="28"/>
          <w:lang w:bidi="ar"/>
        </w:rPr>
        <w:t>组织开展了</w:t>
      </w:r>
      <w:r>
        <w:rPr>
          <w:rFonts w:hint="eastAsia" w:ascii="Times New Roman" w:hAnsi="Times New Roman" w:cs="Times New Roman"/>
          <w:sz w:val="28"/>
          <w:szCs w:val="28"/>
          <w:u w:val="single"/>
          <w:lang w:bidi="ar"/>
        </w:rPr>
        <w:t>茨淮新河治理工程信息化项目</w:t>
      </w:r>
      <w:r>
        <w:rPr>
          <w:rFonts w:hint="eastAsia" w:ascii="Times New Roman" w:hAnsi="Times New Roman" w:cs="Times New Roman"/>
          <w:sz w:val="28"/>
          <w:szCs w:val="28"/>
          <w:u w:val="single"/>
          <w:lang w:val="en-US" w:eastAsia="zh-CN" w:bidi="ar"/>
        </w:rPr>
        <w:t>施工</w:t>
      </w:r>
      <w:r>
        <w:rPr>
          <w:rFonts w:hint="eastAsia" w:ascii="Times New Roman" w:hAnsi="Times New Roman" w:cs="Times New Roman"/>
          <w:sz w:val="28"/>
          <w:szCs w:val="28"/>
          <w:u w:val="single"/>
          <w:lang w:bidi="ar"/>
        </w:rPr>
        <w:t>标</w:t>
      </w:r>
      <w:r>
        <w:rPr>
          <w:rFonts w:hint="eastAsia" w:ascii="Times New Roman" w:hAnsi="Times New Roman" w:cs="Times New Roman"/>
          <w:sz w:val="28"/>
          <w:szCs w:val="28"/>
          <w:lang w:val="en-US" w:eastAsia="zh-CN" w:bidi="ar"/>
        </w:rPr>
        <w:t>评标报告审查</w:t>
      </w:r>
      <w:r>
        <w:rPr>
          <w:rFonts w:ascii="Times New Roman" w:hAnsi="Times New Roman" w:cs="Times New Roman"/>
          <w:sz w:val="28"/>
          <w:szCs w:val="28"/>
          <w:lang w:bidi="ar"/>
        </w:rPr>
        <w:t>工作，</w:t>
      </w:r>
      <w:r>
        <w:rPr>
          <w:rFonts w:hint="eastAsia" w:ascii="Times New Roman" w:hAnsi="Times New Roman" w:cs="Times New Roman"/>
          <w:sz w:val="28"/>
          <w:szCs w:val="28"/>
          <w:lang w:val="en-US" w:eastAsia="zh-CN" w:bidi="ar"/>
        </w:rPr>
        <w:t>参加人员有</w:t>
      </w:r>
      <w:r>
        <w:rPr>
          <w:rFonts w:hint="eastAsia" w:ascii="Times New Roman" w:hAnsi="Times New Roman" w:cs="Times New Roman"/>
          <w:sz w:val="28"/>
          <w:szCs w:val="28"/>
          <w:highlight w:val="yellow"/>
          <w:u w:val="single"/>
          <w:lang w:val="en-US" w:eastAsia="zh-CN" w:bidi="ar"/>
        </w:rPr>
        <w:t xml:space="preserve">      </w:t>
      </w:r>
      <w:r>
        <w:rPr>
          <w:rFonts w:hint="eastAsia" w:ascii="Times New Roman" w:hAnsi="Times New Roman" w:cs="Times New Roman"/>
          <w:sz w:val="28"/>
          <w:szCs w:val="28"/>
          <w:lang w:val="en-US" w:eastAsia="zh-CN" w:bidi="ar"/>
        </w:rPr>
        <w:t>。</w:t>
      </w:r>
      <w:r>
        <w:rPr>
          <w:rFonts w:ascii="Times New Roman" w:hAnsi="Times New Roman" w:cs="Times New Roman"/>
          <w:sz w:val="28"/>
          <w:szCs w:val="28"/>
          <w:lang w:bidi="ar"/>
        </w:rPr>
        <w:t>经过对招标文件、投标文件、</w:t>
      </w:r>
      <w:r>
        <w:rPr>
          <w:rFonts w:hint="eastAsia" w:ascii="Times New Roman" w:hAnsi="Times New Roman" w:cs="Times New Roman"/>
          <w:sz w:val="28"/>
          <w:szCs w:val="28"/>
          <w:lang w:val="en-US" w:eastAsia="zh-CN" w:bidi="ar"/>
        </w:rPr>
        <w:t>评标报告</w:t>
      </w:r>
      <w:r>
        <w:rPr>
          <w:rFonts w:ascii="Times New Roman" w:hAnsi="Times New Roman" w:cs="Times New Roman"/>
          <w:sz w:val="28"/>
          <w:szCs w:val="28"/>
          <w:lang w:bidi="ar"/>
        </w:rPr>
        <w:t>认真核对，</w:t>
      </w:r>
      <w:r>
        <w:rPr>
          <w:rFonts w:hint="eastAsia" w:ascii="Times New Roman" w:hAnsi="Times New Roman" w:cs="Times New Roman"/>
          <w:sz w:val="28"/>
          <w:szCs w:val="28"/>
          <w:lang w:val="en-US" w:eastAsia="zh-CN" w:bidi="ar"/>
        </w:rPr>
        <w:t>形成报告</w:t>
      </w:r>
      <w:r>
        <w:rPr>
          <w:rFonts w:ascii="Times New Roman" w:hAnsi="Times New Roman" w:cs="Times New Roman"/>
          <w:sz w:val="28"/>
          <w:szCs w:val="28"/>
          <w:lang w:bidi="ar"/>
        </w:rPr>
        <w:t>如下：</w:t>
      </w:r>
    </w:p>
    <w:p w14:paraId="33435185">
      <w:pPr>
        <w:adjustRightInd w:val="0"/>
        <w:snapToGrid w:val="0"/>
        <w:spacing w:line="600" w:lineRule="exact"/>
        <w:ind w:firstLine="562" w:firstLineChars="200"/>
        <w:rPr>
          <w:rFonts w:hint="default" w:ascii="Times New Roman" w:hAnsi="Times New Roman" w:cs="Times New Roman"/>
          <w:b/>
          <w:bCs/>
          <w:color w:val="auto"/>
          <w:sz w:val="28"/>
          <w:szCs w:val="28"/>
          <w:lang w:val="en-US" w:eastAsia="zh-CN" w:bidi="ar"/>
        </w:rPr>
      </w:pPr>
      <w:r>
        <w:rPr>
          <w:rFonts w:hint="eastAsia" w:ascii="Times New Roman" w:hAnsi="Times New Roman" w:cs="Times New Roman"/>
          <w:b/>
          <w:bCs/>
          <w:color w:val="auto"/>
          <w:sz w:val="28"/>
          <w:szCs w:val="28"/>
          <w:lang w:val="en-US" w:eastAsia="zh-CN" w:bidi="ar"/>
        </w:rPr>
        <w:t>一、总体情况</w:t>
      </w:r>
    </w:p>
    <w:p w14:paraId="216F7240">
      <w:pPr>
        <w:adjustRightInd w:val="0"/>
        <w:snapToGrid w:val="0"/>
        <w:spacing w:line="600" w:lineRule="exact"/>
        <w:ind w:firstLine="560" w:firstLineChars="200"/>
        <w:rPr>
          <w:rFonts w:hint="default" w:ascii="Times New Roman" w:hAnsi="Times New Roman" w:cs="Times New Roman"/>
          <w:color w:val="auto"/>
          <w:sz w:val="28"/>
          <w:szCs w:val="28"/>
          <w:highlight w:val="none"/>
          <w:lang w:val="en-US" w:eastAsia="zh-CN" w:bidi="ar"/>
        </w:rPr>
      </w:pPr>
      <w:r>
        <w:rPr>
          <w:rFonts w:hint="eastAsia" w:ascii="Times New Roman" w:hAnsi="Times New Roman" w:cs="Times New Roman"/>
          <w:sz w:val="28"/>
          <w:szCs w:val="28"/>
          <w:u w:val="single"/>
          <w:lang w:val="en-US" w:eastAsia="zh-CN" w:bidi="ar"/>
        </w:rPr>
        <w:t>2026</w:t>
      </w:r>
      <w:r>
        <w:rPr>
          <w:rFonts w:ascii="Times New Roman" w:hAnsi="Times New Roman" w:cs="Times New Roman"/>
          <w:sz w:val="28"/>
          <w:szCs w:val="28"/>
          <w:highlight w:val="none"/>
          <w:lang w:bidi="ar"/>
        </w:rPr>
        <w:t>年</w:t>
      </w:r>
      <w:r>
        <w:rPr>
          <w:rFonts w:hint="eastAsia" w:ascii="Times New Roman" w:hAnsi="Times New Roman" w:cs="Times New Roman"/>
          <w:sz w:val="28"/>
          <w:szCs w:val="28"/>
          <w:u w:val="single"/>
          <w:lang w:val="en-US" w:eastAsia="zh-CN" w:bidi="ar"/>
        </w:rPr>
        <w:t>5</w:t>
      </w:r>
      <w:r>
        <w:rPr>
          <w:rFonts w:ascii="Times New Roman" w:hAnsi="Times New Roman" w:cs="Times New Roman"/>
          <w:sz w:val="28"/>
          <w:szCs w:val="28"/>
          <w:highlight w:val="none"/>
          <w:lang w:bidi="ar"/>
        </w:rPr>
        <w:t>月</w:t>
      </w:r>
      <w:r>
        <w:rPr>
          <w:rFonts w:hint="eastAsia" w:ascii="Times New Roman" w:hAnsi="Times New Roman" w:cs="Times New Roman"/>
          <w:sz w:val="28"/>
          <w:szCs w:val="28"/>
          <w:u w:val="single"/>
          <w:lang w:val="en-US" w:eastAsia="zh-CN" w:bidi="ar"/>
        </w:rPr>
        <w:t>11</w:t>
      </w:r>
      <w:r>
        <w:rPr>
          <w:rFonts w:ascii="Times New Roman" w:hAnsi="Times New Roman" w:cs="Times New Roman"/>
          <w:sz w:val="28"/>
          <w:szCs w:val="28"/>
          <w:highlight w:val="none"/>
          <w:lang w:bidi="ar"/>
        </w:rPr>
        <w:t>日</w:t>
      </w:r>
      <w:r>
        <w:rPr>
          <w:rFonts w:hint="eastAsia" w:ascii="Times New Roman" w:hAnsi="Times New Roman" w:cs="Times New Roman"/>
          <w:color w:val="auto"/>
          <w:sz w:val="28"/>
          <w:szCs w:val="28"/>
          <w:lang w:val="en-US" w:eastAsia="zh-CN" w:bidi="ar"/>
        </w:rPr>
        <w:t>，招标人在</w:t>
      </w:r>
      <w:r>
        <w:rPr>
          <w:rFonts w:hint="default" w:ascii="Times New Roman" w:hAnsi="Times New Roman" w:cs="Times New Roman"/>
          <w:sz w:val="28"/>
          <w:szCs w:val="28"/>
          <w:lang w:bidi="ar"/>
        </w:rPr>
        <w:t>合肥市滨湖新区南京路2588号（徽州大道与南京路交口）安徽合肥公共资源交易中心</w:t>
      </w:r>
      <w:r>
        <w:rPr>
          <w:rFonts w:hint="eastAsia" w:ascii="Times New Roman" w:hAnsi="Times New Roman" w:cs="Times New Roman"/>
          <w:sz w:val="28"/>
          <w:szCs w:val="28"/>
          <w:lang w:val="en-US" w:eastAsia="zh-CN" w:bidi="ar"/>
        </w:rPr>
        <w:t>5</w:t>
      </w:r>
      <w:r>
        <w:rPr>
          <w:rFonts w:hint="default" w:ascii="Times New Roman" w:hAnsi="Times New Roman" w:cs="Times New Roman"/>
          <w:sz w:val="28"/>
          <w:szCs w:val="28"/>
          <w:lang w:bidi="ar"/>
        </w:rPr>
        <w:t>楼</w:t>
      </w:r>
      <w:r>
        <w:rPr>
          <w:rFonts w:hint="eastAsia" w:ascii="Times New Roman" w:hAnsi="Times New Roman" w:cs="Times New Roman"/>
          <w:sz w:val="28"/>
          <w:szCs w:val="28"/>
          <w:lang w:val="en-US" w:eastAsia="zh-CN" w:bidi="ar"/>
        </w:rPr>
        <w:t>26号评标</w:t>
      </w:r>
      <w:r>
        <w:rPr>
          <w:rFonts w:hint="default" w:ascii="Times New Roman" w:hAnsi="Times New Roman" w:cs="Times New Roman"/>
          <w:sz w:val="28"/>
          <w:szCs w:val="28"/>
          <w:lang w:bidi="ar"/>
        </w:rPr>
        <w:t>室</w:t>
      </w:r>
      <w:r>
        <w:rPr>
          <w:rFonts w:hint="eastAsia" w:ascii="Times New Roman" w:hAnsi="Times New Roman" w:cs="Times New Roman"/>
          <w:color w:val="auto"/>
          <w:sz w:val="28"/>
          <w:szCs w:val="28"/>
          <w:lang w:val="en-US" w:eastAsia="zh-CN" w:bidi="ar"/>
        </w:rPr>
        <w:t>组织了评标会议。共有</w:t>
      </w:r>
      <w:r>
        <w:rPr>
          <w:rFonts w:hint="eastAsia" w:ascii="Times New Roman" w:hAnsi="Times New Roman" w:cs="Times New Roman"/>
          <w:sz w:val="28"/>
          <w:szCs w:val="28"/>
          <w:u w:val="single"/>
          <w:lang w:val="en-US" w:eastAsia="zh-CN" w:bidi="ar"/>
        </w:rPr>
        <w:t>92</w:t>
      </w:r>
      <w:r>
        <w:rPr>
          <w:rFonts w:hint="eastAsia" w:ascii="Times New Roman" w:hAnsi="Times New Roman" w:cs="Times New Roman"/>
          <w:color w:val="auto"/>
          <w:sz w:val="28"/>
          <w:szCs w:val="28"/>
          <w:lang w:val="en-US" w:eastAsia="zh-CN" w:bidi="ar"/>
        </w:rPr>
        <w:t>家投标单位递交并成功解密了投标文件。经过评标委员会评审并推荐，第一中标候选人为</w:t>
      </w:r>
      <w:r>
        <w:rPr>
          <w:rFonts w:hint="eastAsia" w:ascii="Times New Roman" w:hAnsi="Times New Roman" w:cs="Times New Roman"/>
          <w:sz w:val="28"/>
          <w:szCs w:val="28"/>
          <w:u w:val="single"/>
          <w:lang w:val="en-US" w:eastAsia="zh-CN" w:bidi="ar"/>
        </w:rPr>
        <w:t>安徽广辰建设工程有限公司</w:t>
      </w:r>
      <w:r>
        <w:rPr>
          <w:rFonts w:hint="eastAsia" w:ascii="Times New Roman" w:hAnsi="Times New Roman" w:cs="Times New Roman"/>
          <w:color w:val="auto"/>
          <w:sz w:val="28"/>
          <w:szCs w:val="28"/>
          <w:lang w:val="en-US" w:eastAsia="zh-CN" w:bidi="ar"/>
        </w:rPr>
        <w:t>，</w:t>
      </w:r>
      <w:r>
        <w:rPr>
          <w:rFonts w:hint="eastAsia" w:ascii="Times New Roman" w:hAnsi="Times New Roman" w:cs="Times New Roman"/>
          <w:color w:val="auto"/>
          <w:sz w:val="28"/>
          <w:szCs w:val="28"/>
          <w:highlight w:val="none"/>
          <w:lang w:val="en-US" w:eastAsia="zh-CN" w:bidi="ar"/>
        </w:rPr>
        <w:t>第二中标候选人为</w:t>
      </w:r>
      <w:r>
        <w:rPr>
          <w:rFonts w:hint="eastAsia" w:ascii="Times New Roman" w:hAnsi="Times New Roman" w:cs="Times New Roman"/>
          <w:sz w:val="28"/>
          <w:szCs w:val="28"/>
          <w:highlight w:val="none"/>
          <w:u w:val="single"/>
          <w:lang w:val="en-US" w:eastAsia="zh-CN" w:bidi="ar"/>
        </w:rPr>
        <w:t>安徽亚唐建筑工程有限责任公司</w:t>
      </w:r>
      <w:r>
        <w:rPr>
          <w:rFonts w:hint="eastAsia" w:ascii="Times New Roman" w:hAnsi="Times New Roman" w:cs="Times New Roman"/>
          <w:color w:val="auto"/>
          <w:sz w:val="28"/>
          <w:szCs w:val="28"/>
          <w:highlight w:val="none"/>
          <w:lang w:val="en-US" w:eastAsia="zh-CN" w:bidi="ar"/>
        </w:rPr>
        <w:t>。</w:t>
      </w:r>
    </w:p>
    <w:p w14:paraId="2B184958">
      <w:pPr>
        <w:adjustRightInd w:val="0"/>
        <w:snapToGrid w:val="0"/>
        <w:spacing w:line="600" w:lineRule="exact"/>
        <w:ind w:firstLine="562" w:firstLineChars="200"/>
        <w:rPr>
          <w:rFonts w:hint="default" w:ascii="Times New Roman" w:hAnsi="Times New Roman" w:cs="Times New Roman"/>
          <w:b/>
          <w:bCs/>
          <w:color w:val="auto"/>
          <w:sz w:val="28"/>
          <w:szCs w:val="28"/>
          <w:lang w:val="en-US" w:eastAsia="zh-CN" w:bidi="ar"/>
        </w:rPr>
      </w:pPr>
      <w:r>
        <w:rPr>
          <w:rFonts w:hint="eastAsia" w:ascii="Times New Roman" w:hAnsi="Times New Roman" w:cs="Times New Roman"/>
          <w:b/>
          <w:bCs/>
          <w:color w:val="auto"/>
          <w:sz w:val="28"/>
          <w:szCs w:val="28"/>
          <w:lang w:val="en-US" w:eastAsia="zh-CN" w:bidi="ar"/>
        </w:rPr>
        <w:t>二、</w:t>
      </w:r>
      <w:r>
        <w:rPr>
          <w:rFonts w:hint="eastAsia" w:ascii="Times New Roman" w:hAnsi="Times New Roman" w:cs="Times New Roman"/>
          <w:b/>
          <w:bCs/>
          <w:sz w:val="28"/>
          <w:szCs w:val="28"/>
          <w:lang w:val="en-US" w:eastAsia="zh-CN" w:bidi="ar"/>
        </w:rPr>
        <w:t>评标报告审查内容</w:t>
      </w:r>
    </w:p>
    <w:p w14:paraId="16370522">
      <w:pPr>
        <w:adjustRightInd w:val="0"/>
        <w:snapToGrid w:val="0"/>
        <w:spacing w:line="600" w:lineRule="exact"/>
        <w:ind w:firstLine="560" w:firstLineChars="200"/>
        <w:rPr>
          <w:rFonts w:hint="eastAsia" w:ascii="Times New Roman" w:hAnsi="Times New Roman" w:cs="Times New Roman"/>
          <w:color w:val="auto"/>
          <w:sz w:val="28"/>
          <w:szCs w:val="28"/>
          <w:lang w:val="en-US" w:eastAsia="zh-CN" w:bidi="ar"/>
        </w:rPr>
      </w:pPr>
      <w:r>
        <w:rPr>
          <w:rFonts w:hint="eastAsia" w:ascii="Times New Roman" w:hAnsi="Times New Roman" w:cs="Times New Roman"/>
          <w:color w:val="auto"/>
          <w:sz w:val="28"/>
          <w:szCs w:val="28"/>
          <w:lang w:val="en-US" w:eastAsia="zh-CN" w:bidi="ar"/>
        </w:rPr>
        <w:t>1.评标委员会是否按照招标文件规定的评标标准和方法进行评标；</w:t>
      </w:r>
    </w:p>
    <w:p w14:paraId="531F4D87">
      <w:pPr>
        <w:adjustRightInd w:val="0"/>
        <w:snapToGrid w:val="0"/>
        <w:spacing w:line="600" w:lineRule="exact"/>
        <w:ind w:firstLine="560" w:firstLineChars="200"/>
        <w:rPr>
          <w:rFonts w:hint="eastAsia" w:ascii="Times New Roman" w:hAnsi="Times New Roman" w:cs="Times New Roman"/>
          <w:color w:val="auto"/>
          <w:sz w:val="28"/>
          <w:szCs w:val="28"/>
          <w:lang w:val="en-US" w:eastAsia="zh-CN" w:bidi="ar"/>
        </w:rPr>
      </w:pPr>
      <w:r>
        <w:rPr>
          <w:rFonts w:hint="eastAsia" w:ascii="Times New Roman" w:hAnsi="Times New Roman" w:cs="Times New Roman"/>
          <w:color w:val="auto"/>
          <w:sz w:val="28"/>
          <w:szCs w:val="28"/>
          <w:lang w:val="en-US" w:eastAsia="zh-CN" w:bidi="ar"/>
        </w:rPr>
        <w:t>2.评标委员会对客观评审因素评分是否一致，是否有评分畸高、畸低，或者计算错误；</w:t>
      </w:r>
    </w:p>
    <w:p w14:paraId="7DC994A3">
      <w:pPr>
        <w:adjustRightInd w:val="0"/>
        <w:snapToGrid w:val="0"/>
        <w:spacing w:line="600" w:lineRule="exact"/>
        <w:ind w:firstLine="560" w:firstLineChars="200"/>
        <w:rPr>
          <w:rFonts w:hint="eastAsia" w:ascii="Times New Roman" w:hAnsi="Times New Roman" w:cs="Times New Roman"/>
          <w:color w:val="auto"/>
          <w:sz w:val="28"/>
          <w:szCs w:val="28"/>
          <w:lang w:val="en-US" w:eastAsia="zh-CN" w:bidi="ar"/>
        </w:rPr>
      </w:pPr>
      <w:r>
        <w:rPr>
          <w:rFonts w:hint="eastAsia" w:ascii="Times New Roman" w:hAnsi="Times New Roman" w:cs="Times New Roman"/>
          <w:color w:val="auto"/>
          <w:sz w:val="28"/>
          <w:szCs w:val="28"/>
          <w:lang w:val="en-US" w:eastAsia="zh-CN" w:bidi="ar"/>
        </w:rPr>
        <w:t>3.评标委员会是否对可能低于成本或者影响履约的异常低价投标和严重不平衡报价进行分析研判；</w:t>
      </w:r>
    </w:p>
    <w:p w14:paraId="1DBD46F8">
      <w:pPr>
        <w:adjustRightInd w:val="0"/>
        <w:snapToGrid w:val="0"/>
        <w:spacing w:line="600" w:lineRule="exact"/>
        <w:ind w:firstLine="560" w:firstLineChars="200"/>
        <w:rPr>
          <w:rFonts w:hint="eastAsia" w:ascii="Times New Roman" w:hAnsi="Times New Roman" w:cs="Times New Roman"/>
          <w:color w:val="auto"/>
          <w:sz w:val="28"/>
          <w:szCs w:val="28"/>
          <w:lang w:val="en-US" w:eastAsia="zh-CN" w:bidi="ar"/>
        </w:rPr>
      </w:pPr>
      <w:r>
        <w:rPr>
          <w:rFonts w:hint="eastAsia" w:ascii="Times New Roman" w:hAnsi="Times New Roman" w:cs="Times New Roman"/>
          <w:color w:val="auto"/>
          <w:sz w:val="28"/>
          <w:szCs w:val="28"/>
          <w:lang w:val="en-US" w:eastAsia="zh-CN" w:bidi="ar"/>
        </w:rPr>
        <w:t>4.评标委员会是否依法通知投标人进行澄清、说明；</w:t>
      </w:r>
    </w:p>
    <w:p w14:paraId="60AB6731">
      <w:pPr>
        <w:adjustRightInd w:val="0"/>
        <w:snapToGrid w:val="0"/>
        <w:spacing w:line="600" w:lineRule="exact"/>
        <w:ind w:firstLine="560" w:firstLineChars="200"/>
        <w:rPr>
          <w:rFonts w:hint="eastAsia" w:ascii="Times New Roman" w:hAnsi="Times New Roman" w:cs="Times New Roman"/>
          <w:color w:val="auto"/>
          <w:sz w:val="28"/>
          <w:szCs w:val="28"/>
          <w:lang w:val="en-US" w:eastAsia="zh-CN" w:bidi="ar"/>
        </w:rPr>
      </w:pPr>
      <w:r>
        <w:rPr>
          <w:rFonts w:hint="eastAsia" w:ascii="Times New Roman" w:hAnsi="Times New Roman" w:cs="Times New Roman"/>
          <w:color w:val="auto"/>
          <w:sz w:val="28"/>
          <w:szCs w:val="28"/>
          <w:lang w:val="en-US" w:eastAsia="zh-CN" w:bidi="ar"/>
        </w:rPr>
        <w:t>5.评标委员会对应当否决的投标是否否决，是否存在随意否决投标的情况；</w:t>
      </w:r>
    </w:p>
    <w:p w14:paraId="66590F97">
      <w:pPr>
        <w:adjustRightInd w:val="0"/>
        <w:snapToGrid w:val="0"/>
        <w:spacing w:line="600" w:lineRule="exact"/>
        <w:ind w:firstLine="560" w:firstLineChars="200"/>
        <w:rPr>
          <w:rFonts w:hint="eastAsia" w:ascii="Times New Roman" w:hAnsi="Times New Roman" w:cs="Times New Roman"/>
          <w:b/>
          <w:bCs/>
          <w:color w:val="auto"/>
          <w:sz w:val="28"/>
          <w:szCs w:val="28"/>
          <w:lang w:val="en-US" w:eastAsia="zh-CN" w:bidi="ar"/>
        </w:rPr>
      </w:pPr>
      <w:r>
        <w:rPr>
          <w:rFonts w:hint="eastAsia" w:ascii="Times New Roman" w:hAnsi="Times New Roman" w:cs="Times New Roman"/>
          <w:color w:val="auto"/>
          <w:sz w:val="28"/>
          <w:szCs w:val="28"/>
          <w:lang w:val="en-US" w:eastAsia="zh-CN" w:bidi="ar"/>
        </w:rPr>
        <w:t>6.是否有其他不客观不公正履行评标职责的情形。</w:t>
      </w:r>
    </w:p>
    <w:p w14:paraId="44185975">
      <w:pPr>
        <w:adjustRightInd w:val="0"/>
        <w:snapToGrid w:val="0"/>
        <w:spacing w:line="600" w:lineRule="exact"/>
        <w:ind w:firstLine="562" w:firstLineChars="200"/>
        <w:rPr>
          <w:rFonts w:hint="default" w:ascii="Times New Roman" w:hAnsi="Times New Roman" w:cs="Times New Roman"/>
          <w:b/>
          <w:bCs/>
          <w:color w:val="auto"/>
          <w:sz w:val="28"/>
          <w:szCs w:val="28"/>
          <w:lang w:val="en-US" w:eastAsia="zh-CN" w:bidi="ar"/>
        </w:rPr>
      </w:pPr>
      <w:r>
        <w:rPr>
          <w:rFonts w:hint="eastAsia" w:ascii="Times New Roman" w:hAnsi="Times New Roman" w:cs="Times New Roman"/>
          <w:b/>
          <w:bCs/>
          <w:color w:val="auto"/>
          <w:sz w:val="28"/>
          <w:szCs w:val="28"/>
          <w:lang w:val="en-US" w:eastAsia="zh-CN" w:bidi="ar"/>
        </w:rPr>
        <w:t>三、</w:t>
      </w:r>
      <w:r>
        <w:rPr>
          <w:rFonts w:hint="eastAsia" w:ascii="Times New Roman" w:hAnsi="Times New Roman" w:cs="Times New Roman"/>
          <w:b/>
          <w:bCs/>
          <w:sz w:val="28"/>
          <w:szCs w:val="28"/>
          <w:lang w:val="en-US" w:eastAsia="zh-CN" w:bidi="ar"/>
        </w:rPr>
        <w:t>评标报告审查情况</w:t>
      </w:r>
    </w:p>
    <w:p w14:paraId="52899181">
      <w:pPr>
        <w:adjustRightInd w:val="0"/>
        <w:snapToGrid w:val="0"/>
        <w:spacing w:line="600" w:lineRule="exact"/>
        <w:ind w:firstLine="560" w:firstLineChars="200"/>
        <w:rPr>
          <w:rFonts w:hint="eastAsia" w:ascii="Times New Roman" w:hAnsi="Times New Roman" w:cs="Times New Roman"/>
          <w:color w:val="auto"/>
          <w:sz w:val="28"/>
          <w:szCs w:val="28"/>
          <w:lang w:val="en-US" w:eastAsia="zh-CN" w:bidi="ar"/>
        </w:rPr>
      </w:pPr>
      <w:r>
        <w:rPr>
          <w:rFonts w:hint="eastAsia" w:ascii="Times New Roman" w:hAnsi="Times New Roman" w:cs="Times New Roman"/>
          <w:color w:val="auto"/>
          <w:sz w:val="28"/>
          <w:szCs w:val="28"/>
          <w:lang w:val="en-US" w:eastAsia="zh-CN" w:bidi="ar"/>
        </w:rPr>
        <w:t>1.评标委员会按照招标文件规定的评标标准和方法进行评标；</w:t>
      </w:r>
    </w:p>
    <w:p w14:paraId="1D84940F">
      <w:pPr>
        <w:adjustRightInd w:val="0"/>
        <w:snapToGrid w:val="0"/>
        <w:spacing w:line="600" w:lineRule="exact"/>
        <w:ind w:firstLine="560" w:firstLineChars="200"/>
        <w:rPr>
          <w:rFonts w:hint="eastAsia" w:ascii="Times New Roman" w:hAnsi="Times New Roman" w:cs="Times New Roman"/>
          <w:color w:val="auto"/>
          <w:sz w:val="28"/>
          <w:szCs w:val="28"/>
          <w:lang w:val="en-US" w:eastAsia="zh-CN" w:bidi="ar"/>
        </w:rPr>
      </w:pPr>
      <w:r>
        <w:rPr>
          <w:rFonts w:hint="eastAsia" w:ascii="Times New Roman" w:hAnsi="Times New Roman" w:cs="Times New Roman"/>
          <w:color w:val="auto"/>
          <w:sz w:val="28"/>
          <w:szCs w:val="28"/>
          <w:lang w:val="en-US" w:eastAsia="zh-CN" w:bidi="ar"/>
        </w:rPr>
        <w:t>2.评标委员会对客观评审因素评分一致，无评分畸高、畸低，或者计算错误；</w:t>
      </w:r>
    </w:p>
    <w:p w14:paraId="50AB6B4D">
      <w:pPr>
        <w:adjustRightInd w:val="0"/>
        <w:snapToGrid w:val="0"/>
        <w:spacing w:line="600" w:lineRule="exact"/>
        <w:ind w:firstLine="560" w:firstLineChars="200"/>
        <w:rPr>
          <w:rFonts w:hint="eastAsia" w:ascii="Times New Roman" w:hAnsi="Times New Roman" w:cs="Times New Roman"/>
          <w:color w:val="auto"/>
          <w:sz w:val="28"/>
          <w:szCs w:val="28"/>
          <w:lang w:val="en-US" w:eastAsia="zh-CN" w:bidi="ar"/>
        </w:rPr>
      </w:pPr>
      <w:r>
        <w:rPr>
          <w:rFonts w:hint="eastAsia" w:ascii="Times New Roman" w:hAnsi="Times New Roman" w:cs="Times New Roman"/>
          <w:color w:val="auto"/>
          <w:sz w:val="28"/>
          <w:szCs w:val="28"/>
          <w:lang w:val="en-US" w:eastAsia="zh-CN" w:bidi="ar"/>
        </w:rPr>
        <w:t>3.评标委员会未发现投标人有可能影响履约的异常低价投标；</w:t>
      </w:r>
    </w:p>
    <w:p w14:paraId="35EE5285">
      <w:pPr>
        <w:adjustRightInd w:val="0"/>
        <w:snapToGrid w:val="0"/>
        <w:spacing w:line="600" w:lineRule="exact"/>
        <w:ind w:firstLine="560" w:firstLineChars="200"/>
        <w:rPr>
          <w:rFonts w:hint="eastAsia" w:ascii="Times New Roman" w:hAnsi="Times New Roman" w:cs="Times New Roman"/>
          <w:color w:val="auto"/>
          <w:sz w:val="28"/>
          <w:szCs w:val="28"/>
          <w:highlight w:val="none"/>
          <w:lang w:val="en-US" w:eastAsia="zh-CN" w:bidi="ar"/>
        </w:rPr>
      </w:pPr>
      <w:r>
        <w:rPr>
          <w:rFonts w:hint="eastAsia" w:ascii="Times New Roman" w:hAnsi="Times New Roman" w:cs="Times New Roman"/>
          <w:color w:val="auto"/>
          <w:sz w:val="28"/>
          <w:szCs w:val="28"/>
          <w:highlight w:val="none"/>
          <w:lang w:val="en-US" w:eastAsia="zh-CN" w:bidi="ar"/>
        </w:rPr>
        <w:t>4.评标委员会未发现严重不平衡报价，所有投标人报价的</w:t>
      </w:r>
      <w:r>
        <w:rPr>
          <w:rFonts w:hint="eastAsia" w:ascii="Times New Roman" w:hAnsi="Times New Roman" w:cs="Times New Roman" w:eastAsiaTheme="minorEastAsia"/>
          <w:color w:val="auto"/>
          <w:kern w:val="2"/>
          <w:sz w:val="28"/>
          <w:szCs w:val="28"/>
          <w:highlight w:val="none"/>
          <w:lang w:val="en-US" w:eastAsia="zh-CN" w:bidi="ar"/>
        </w:rPr>
        <w:t>分项报价偏差率</w:t>
      </w:r>
      <w:r>
        <w:rPr>
          <w:rFonts w:hint="eastAsia" w:ascii="Times New Roman" w:hAnsi="Times New Roman" w:cs="Times New Roman"/>
          <w:color w:val="auto"/>
          <w:kern w:val="2"/>
          <w:sz w:val="28"/>
          <w:szCs w:val="28"/>
          <w:highlight w:val="none"/>
          <w:lang w:val="en-US" w:eastAsia="zh-CN" w:bidi="ar"/>
        </w:rPr>
        <w:t>均在招标文件规定范围内；</w:t>
      </w:r>
    </w:p>
    <w:p w14:paraId="1E79DA60">
      <w:pPr>
        <w:adjustRightInd w:val="0"/>
        <w:snapToGrid w:val="0"/>
        <w:spacing w:line="600" w:lineRule="exact"/>
        <w:ind w:firstLine="560" w:firstLineChars="200"/>
        <w:rPr>
          <w:rFonts w:hint="eastAsia" w:ascii="Times New Roman" w:hAnsi="Times New Roman" w:cs="Times New Roman"/>
          <w:color w:val="auto"/>
          <w:sz w:val="28"/>
          <w:szCs w:val="28"/>
          <w:lang w:val="en-US" w:eastAsia="zh-CN" w:bidi="ar"/>
        </w:rPr>
      </w:pPr>
      <w:r>
        <w:rPr>
          <w:rFonts w:hint="eastAsia" w:ascii="Times New Roman" w:hAnsi="Times New Roman" w:cs="Times New Roman"/>
          <w:color w:val="auto"/>
          <w:sz w:val="28"/>
          <w:szCs w:val="28"/>
          <w:lang w:val="en-US" w:eastAsia="zh-CN" w:bidi="ar"/>
        </w:rPr>
        <w:t>5.本次评标有需要投标人进行澄清、说明的情形，评标委员会依法通知了投标人进行澄清、说明；</w:t>
      </w:r>
    </w:p>
    <w:p w14:paraId="030726B7">
      <w:pPr>
        <w:adjustRightInd w:val="0"/>
        <w:snapToGrid w:val="0"/>
        <w:spacing w:line="600" w:lineRule="exact"/>
        <w:ind w:firstLine="560" w:firstLineChars="200"/>
        <w:rPr>
          <w:rFonts w:hint="eastAsia" w:ascii="Times New Roman" w:hAnsi="Times New Roman" w:cs="Times New Roman"/>
          <w:color w:val="auto"/>
          <w:sz w:val="28"/>
          <w:szCs w:val="28"/>
          <w:lang w:val="en-US" w:eastAsia="zh-CN" w:bidi="ar"/>
        </w:rPr>
      </w:pPr>
      <w:r>
        <w:rPr>
          <w:rFonts w:hint="eastAsia" w:ascii="Times New Roman" w:hAnsi="Times New Roman" w:cs="Times New Roman"/>
          <w:color w:val="auto"/>
          <w:sz w:val="28"/>
          <w:szCs w:val="28"/>
          <w:lang w:val="en-US" w:eastAsia="zh-CN" w:bidi="ar"/>
        </w:rPr>
        <w:t>6.评标委员会对所有应当否决的投标进行了否决，并给出了</w:t>
      </w:r>
      <w:r>
        <w:rPr>
          <w:rFonts w:hint="eastAsia" w:ascii="Times New Roman" w:hAnsi="Times New Roman" w:cs="Times New Roman"/>
          <w:color w:val="auto"/>
          <w:sz w:val="28"/>
          <w:szCs w:val="28"/>
          <w:highlight w:val="none"/>
          <w:lang w:bidi="ar"/>
        </w:rPr>
        <w:t>依据和原因</w:t>
      </w:r>
      <w:r>
        <w:rPr>
          <w:rFonts w:hint="eastAsia" w:ascii="Times New Roman" w:hAnsi="Times New Roman" w:cs="Times New Roman"/>
          <w:color w:val="auto"/>
          <w:sz w:val="28"/>
          <w:szCs w:val="28"/>
          <w:lang w:eastAsia="zh-CN" w:bidi="ar"/>
        </w:rPr>
        <w:t>；</w:t>
      </w:r>
    </w:p>
    <w:p w14:paraId="6F75BABE">
      <w:pPr>
        <w:adjustRightInd w:val="0"/>
        <w:snapToGrid w:val="0"/>
        <w:spacing w:line="600" w:lineRule="exact"/>
        <w:ind w:firstLine="560" w:firstLineChars="200"/>
        <w:rPr>
          <w:rFonts w:hint="eastAsia" w:ascii="Times New Roman" w:hAnsi="Times New Roman" w:cs="Times New Roman"/>
          <w:color w:val="auto"/>
          <w:sz w:val="28"/>
          <w:szCs w:val="28"/>
          <w:lang w:val="en-US" w:eastAsia="zh-CN" w:bidi="ar"/>
        </w:rPr>
      </w:pPr>
      <w:r>
        <w:rPr>
          <w:rFonts w:hint="eastAsia" w:ascii="Times New Roman" w:hAnsi="Times New Roman" w:cs="Times New Roman"/>
          <w:color w:val="auto"/>
          <w:sz w:val="28"/>
          <w:szCs w:val="28"/>
          <w:lang w:val="en-US" w:eastAsia="zh-CN" w:bidi="ar"/>
        </w:rPr>
        <w:t>7.未发现其他不客观不公正履行评标职责的情形。</w:t>
      </w:r>
    </w:p>
    <w:p w14:paraId="1A1B45C3">
      <w:pPr>
        <w:pStyle w:val="10"/>
        <w:ind w:left="0" w:leftChars="0" w:firstLine="560" w:firstLineChars="200"/>
        <w:rPr>
          <w:rFonts w:hint="eastAsia" w:cs="Times New Roman"/>
          <w:color w:val="auto"/>
          <w:sz w:val="28"/>
          <w:szCs w:val="28"/>
          <w:lang w:val="en-US" w:eastAsia="zh-CN" w:bidi="ar"/>
        </w:rPr>
      </w:pPr>
      <w:r>
        <w:rPr>
          <w:rFonts w:hint="eastAsia" w:cs="Times New Roman"/>
          <w:color w:val="auto"/>
          <w:sz w:val="28"/>
          <w:szCs w:val="28"/>
          <w:lang w:val="en-US" w:eastAsia="zh-CN" w:bidi="ar"/>
        </w:rPr>
        <w:t>（一）审查发现的异常情形</w:t>
      </w:r>
    </w:p>
    <w:p w14:paraId="3630C377">
      <w:pPr>
        <w:pStyle w:val="10"/>
        <w:ind w:left="0" w:leftChars="0" w:firstLine="560" w:firstLineChars="200"/>
        <w:rPr>
          <w:rFonts w:hint="eastAsia" w:cs="Times New Roman"/>
          <w:color w:val="auto"/>
          <w:sz w:val="28"/>
          <w:szCs w:val="28"/>
          <w:lang w:val="en-US" w:eastAsia="zh-CN" w:bidi="ar"/>
        </w:rPr>
      </w:pPr>
      <w:r>
        <w:rPr>
          <w:rFonts w:hint="eastAsia" w:cs="Times New Roman"/>
          <w:color w:val="auto"/>
          <w:sz w:val="28"/>
          <w:szCs w:val="28"/>
          <w:lang w:val="en-US" w:eastAsia="zh-CN" w:bidi="ar"/>
        </w:rPr>
        <w:t>无</w:t>
      </w:r>
    </w:p>
    <w:p w14:paraId="004DEE5D">
      <w:pPr>
        <w:pStyle w:val="10"/>
        <w:ind w:left="0" w:leftChars="0" w:firstLine="560" w:firstLineChars="200"/>
        <w:rPr>
          <w:rFonts w:hint="eastAsia" w:cs="Times New Roman"/>
          <w:color w:val="auto"/>
          <w:sz w:val="28"/>
          <w:szCs w:val="28"/>
          <w:lang w:val="en-US" w:eastAsia="zh-CN" w:bidi="ar"/>
        </w:rPr>
      </w:pPr>
      <w:r>
        <w:rPr>
          <w:rFonts w:hint="eastAsia" w:cs="Times New Roman"/>
          <w:color w:val="auto"/>
          <w:sz w:val="28"/>
          <w:szCs w:val="28"/>
          <w:lang w:val="en-US" w:eastAsia="zh-CN" w:bidi="ar"/>
        </w:rPr>
        <w:t>（二）未发现其他不客观不公正履行评标职责的情形</w:t>
      </w:r>
    </w:p>
    <w:p w14:paraId="36F288D6">
      <w:pPr>
        <w:adjustRightInd w:val="0"/>
        <w:snapToGrid w:val="0"/>
        <w:spacing w:line="600" w:lineRule="exact"/>
        <w:ind w:firstLine="560" w:firstLineChars="200"/>
        <w:rPr>
          <w:rFonts w:hint="default" w:ascii="Times New Roman" w:hAnsi="Times New Roman" w:cs="Times New Roman"/>
          <w:color w:val="auto"/>
          <w:sz w:val="28"/>
          <w:szCs w:val="28"/>
          <w:lang w:val="en-US" w:eastAsia="zh-CN" w:bidi="ar"/>
        </w:rPr>
      </w:pPr>
      <w:r>
        <w:rPr>
          <w:rFonts w:hint="eastAsia" w:ascii="Times New Roman" w:hAnsi="Times New Roman" w:cs="Times New Roman"/>
          <w:color w:val="auto"/>
          <w:sz w:val="28"/>
          <w:szCs w:val="28"/>
          <w:lang w:val="en-US" w:eastAsia="zh-CN" w:bidi="ar"/>
        </w:rPr>
        <w:t>无</w:t>
      </w:r>
    </w:p>
    <w:p w14:paraId="7E1DAA58">
      <w:pPr>
        <w:pStyle w:val="10"/>
        <w:ind w:firstLine="560" w:firstLineChars="200"/>
        <w:rPr>
          <w:rFonts w:hint="eastAsia" w:ascii="Times New Roman" w:hAnsi="Times New Roman" w:eastAsia="宋体" w:cs="Times New Roman"/>
          <w:bCs w:val="0"/>
          <w:color w:val="auto"/>
          <w:sz w:val="28"/>
          <w:szCs w:val="28"/>
          <w:lang w:val="en-US" w:eastAsia="zh-CN" w:bidi="ar"/>
        </w:rPr>
      </w:pPr>
      <w:r>
        <w:rPr>
          <w:rFonts w:hint="eastAsia" w:ascii="Times New Roman" w:hAnsi="Times New Roman" w:eastAsia="宋体" w:cs="Times New Roman"/>
          <w:b w:val="0"/>
          <w:bCs w:val="0"/>
          <w:color w:val="auto"/>
          <w:kern w:val="0"/>
          <w:sz w:val="28"/>
          <w:szCs w:val="28"/>
          <w:lang w:val="en-US" w:eastAsia="zh-CN" w:bidi="ar"/>
        </w:rPr>
        <w:t>审查</w:t>
      </w:r>
      <w:r>
        <w:rPr>
          <w:rFonts w:hint="eastAsia" w:ascii="Times New Roman" w:hAnsi="Times New Roman" w:eastAsia="宋体" w:cs="Times New Roman"/>
          <w:b w:val="0"/>
          <w:bCs w:val="0"/>
          <w:color w:val="auto"/>
          <w:kern w:val="0"/>
          <w:sz w:val="28"/>
          <w:szCs w:val="28"/>
          <w:lang w:bidi="ar"/>
        </w:rPr>
        <w:t>人员签字</w:t>
      </w:r>
      <w:r>
        <w:rPr>
          <w:rFonts w:hint="eastAsia" w:ascii="Times New Roman" w:hAnsi="Times New Roman" w:eastAsia="宋体" w:cs="Times New Roman"/>
          <w:b w:val="0"/>
          <w:bCs w:val="0"/>
          <w:color w:val="auto"/>
          <w:kern w:val="0"/>
          <w:sz w:val="28"/>
          <w:szCs w:val="28"/>
          <w:lang w:eastAsia="zh-CN" w:bidi="ar"/>
        </w:rPr>
        <w:t>：</w:t>
      </w:r>
      <w:r>
        <w:rPr>
          <w:rFonts w:hint="eastAsia" w:ascii="Times New Roman" w:hAnsi="Times New Roman" w:eastAsia="宋体" w:cs="Times New Roman"/>
          <w:b w:val="0"/>
          <w:bCs w:val="0"/>
          <w:color w:val="auto"/>
          <w:kern w:val="0"/>
          <w:sz w:val="28"/>
          <w:szCs w:val="28"/>
          <w:lang w:val="en-US" w:eastAsia="zh-CN" w:bidi="ar"/>
        </w:rPr>
        <w:t xml:space="preserve"> </w:t>
      </w:r>
      <w:r>
        <w:rPr>
          <w:rFonts w:hint="eastAsia" w:ascii="Times New Roman" w:hAnsi="Times New Roman" w:eastAsia="宋体" w:cs="Times New Roman"/>
          <w:bCs w:val="0"/>
          <w:color w:val="auto"/>
          <w:sz w:val="28"/>
          <w:szCs w:val="28"/>
          <w:lang w:val="en-US" w:eastAsia="zh-CN" w:bidi="ar"/>
        </w:rPr>
        <w:t xml:space="preserve">               日期：</w:t>
      </w:r>
    </w:p>
    <w:p w14:paraId="1BCAB86B">
      <w:pPr>
        <w:pStyle w:val="10"/>
        <w:ind w:firstLine="560" w:firstLineChars="200"/>
        <w:rPr>
          <w:rFonts w:hint="eastAsia" w:ascii="Times New Roman" w:hAnsi="Times New Roman" w:eastAsia="宋体" w:cs="Times New Roman"/>
          <w:bCs w:val="0"/>
          <w:color w:val="auto"/>
          <w:sz w:val="28"/>
          <w:szCs w:val="28"/>
          <w:lang w:val="en-US" w:eastAsia="zh-CN" w:bidi="ar"/>
        </w:rPr>
      </w:pPr>
    </w:p>
    <w:p w14:paraId="327F2553">
      <w:pPr>
        <w:pStyle w:val="10"/>
        <w:ind w:firstLine="560" w:firstLineChars="200"/>
        <w:rPr>
          <w:rFonts w:hint="default"/>
          <w:sz w:val="28"/>
          <w:szCs w:val="28"/>
          <w:lang w:val="en-US" w:eastAsia="zh-CN"/>
        </w:rPr>
      </w:pPr>
      <w:r>
        <w:rPr>
          <w:rFonts w:hint="eastAsia" w:ascii="Times New Roman" w:hAnsi="Times New Roman" w:eastAsia="宋体" w:cs="Times New Roman"/>
          <w:b w:val="0"/>
          <w:bCs w:val="0"/>
          <w:color w:val="auto"/>
          <w:kern w:val="0"/>
          <w:sz w:val="28"/>
          <w:szCs w:val="28"/>
          <w:lang w:bidi="ar"/>
        </w:rPr>
        <w:t>招标人（盖章）</w:t>
      </w:r>
      <w:r>
        <w:rPr>
          <w:rFonts w:hint="eastAsia" w:ascii="Times New Roman" w:hAnsi="Times New Roman" w:eastAsia="宋体" w:cs="Times New Roman"/>
          <w:b w:val="0"/>
          <w:bCs w:val="0"/>
          <w:color w:val="auto"/>
          <w:kern w:val="0"/>
          <w:sz w:val="28"/>
          <w:szCs w:val="28"/>
          <w:lang w:eastAsia="zh-CN" w:bidi="ar"/>
        </w:rPr>
        <w:t>：</w:t>
      </w:r>
      <w:r>
        <w:rPr>
          <w:rFonts w:hint="eastAsia" w:ascii="Times New Roman" w:hAnsi="Times New Roman" w:eastAsia="宋体" w:cs="Times New Roman"/>
          <w:b w:val="0"/>
          <w:bCs w:val="0"/>
          <w:color w:val="auto"/>
          <w:kern w:val="0"/>
          <w:sz w:val="28"/>
          <w:szCs w:val="28"/>
          <w:lang w:val="en-US" w:eastAsia="zh-CN" w:bidi="ar"/>
        </w:rPr>
        <w:t xml:space="preserve">               </w:t>
      </w:r>
      <w:r>
        <w:rPr>
          <w:rFonts w:hint="eastAsia" w:ascii="Times New Roman" w:hAnsi="Times New Roman" w:eastAsia="宋体" w:cs="Times New Roman"/>
          <w:bCs w:val="0"/>
          <w:color w:val="auto"/>
          <w:sz w:val="28"/>
          <w:szCs w:val="28"/>
          <w:lang w:val="en-US" w:eastAsia="zh-CN" w:bidi="ar"/>
        </w:rPr>
        <w:t>日期：</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B8D95D">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47A4A75">
                          <w:pPr>
                            <w:pStyle w:val="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47A4A75">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463C5F"/>
    <w:rsid w:val="02635318"/>
    <w:rsid w:val="02DF57A3"/>
    <w:rsid w:val="02FD7596"/>
    <w:rsid w:val="03572688"/>
    <w:rsid w:val="03B6069E"/>
    <w:rsid w:val="03D96696"/>
    <w:rsid w:val="050369E9"/>
    <w:rsid w:val="05340028"/>
    <w:rsid w:val="0765104B"/>
    <w:rsid w:val="08FF137F"/>
    <w:rsid w:val="09646A02"/>
    <w:rsid w:val="09683C9D"/>
    <w:rsid w:val="0B0B182B"/>
    <w:rsid w:val="0BD279F0"/>
    <w:rsid w:val="0BDC4F75"/>
    <w:rsid w:val="0C4C20FB"/>
    <w:rsid w:val="0CDC615A"/>
    <w:rsid w:val="0E4311B9"/>
    <w:rsid w:val="0FFD54BA"/>
    <w:rsid w:val="106C646A"/>
    <w:rsid w:val="1457788F"/>
    <w:rsid w:val="14C0645F"/>
    <w:rsid w:val="14CF38C9"/>
    <w:rsid w:val="15175270"/>
    <w:rsid w:val="17C2040A"/>
    <w:rsid w:val="18AE37F5"/>
    <w:rsid w:val="1A3B390F"/>
    <w:rsid w:val="1A6C5716"/>
    <w:rsid w:val="1A6D4277"/>
    <w:rsid w:val="1EBF4F16"/>
    <w:rsid w:val="1F4E5D32"/>
    <w:rsid w:val="1FAD0CAB"/>
    <w:rsid w:val="201D29B4"/>
    <w:rsid w:val="212E7BC9"/>
    <w:rsid w:val="21DF0EC4"/>
    <w:rsid w:val="23856B25"/>
    <w:rsid w:val="25070E5D"/>
    <w:rsid w:val="25B45F6B"/>
    <w:rsid w:val="276640C7"/>
    <w:rsid w:val="28321D4D"/>
    <w:rsid w:val="29147B0D"/>
    <w:rsid w:val="29A01D71"/>
    <w:rsid w:val="2A166354"/>
    <w:rsid w:val="2AD42706"/>
    <w:rsid w:val="2CEB2E12"/>
    <w:rsid w:val="2F4476DE"/>
    <w:rsid w:val="2FB570B4"/>
    <w:rsid w:val="303E52E6"/>
    <w:rsid w:val="3068668F"/>
    <w:rsid w:val="320A3D3B"/>
    <w:rsid w:val="348002E4"/>
    <w:rsid w:val="358F5BF0"/>
    <w:rsid w:val="35F80CE6"/>
    <w:rsid w:val="36512363"/>
    <w:rsid w:val="3A0772BB"/>
    <w:rsid w:val="3A2B16AE"/>
    <w:rsid w:val="3A955C05"/>
    <w:rsid w:val="3B781D15"/>
    <w:rsid w:val="3BB07701"/>
    <w:rsid w:val="3C8E5324"/>
    <w:rsid w:val="3CDF4180"/>
    <w:rsid w:val="3CFA56B4"/>
    <w:rsid w:val="3D2A703F"/>
    <w:rsid w:val="40453921"/>
    <w:rsid w:val="40EB2F89"/>
    <w:rsid w:val="40ED0AAF"/>
    <w:rsid w:val="40F75EEC"/>
    <w:rsid w:val="41002113"/>
    <w:rsid w:val="414E4C2B"/>
    <w:rsid w:val="41C677FD"/>
    <w:rsid w:val="42EA174A"/>
    <w:rsid w:val="431E274B"/>
    <w:rsid w:val="43244531"/>
    <w:rsid w:val="43931DE2"/>
    <w:rsid w:val="44687A46"/>
    <w:rsid w:val="44ED4282"/>
    <w:rsid w:val="44F02AFC"/>
    <w:rsid w:val="45401825"/>
    <w:rsid w:val="45801017"/>
    <w:rsid w:val="48BE6D84"/>
    <w:rsid w:val="48C51429"/>
    <w:rsid w:val="48D13DC0"/>
    <w:rsid w:val="48DF33D4"/>
    <w:rsid w:val="49942B9E"/>
    <w:rsid w:val="4A72504B"/>
    <w:rsid w:val="4B1B446B"/>
    <w:rsid w:val="4B58599D"/>
    <w:rsid w:val="4D752558"/>
    <w:rsid w:val="4E6A7BE3"/>
    <w:rsid w:val="4E6F0D56"/>
    <w:rsid w:val="4F8675C0"/>
    <w:rsid w:val="4FF37764"/>
    <w:rsid w:val="51F82286"/>
    <w:rsid w:val="522629AA"/>
    <w:rsid w:val="52576C0F"/>
    <w:rsid w:val="52CC02BF"/>
    <w:rsid w:val="53FE57C8"/>
    <w:rsid w:val="554F3E58"/>
    <w:rsid w:val="559C353C"/>
    <w:rsid w:val="5923427E"/>
    <w:rsid w:val="5A146E5C"/>
    <w:rsid w:val="5B4E432F"/>
    <w:rsid w:val="5B7025B1"/>
    <w:rsid w:val="5D2E44D2"/>
    <w:rsid w:val="60234096"/>
    <w:rsid w:val="617133DA"/>
    <w:rsid w:val="6280132C"/>
    <w:rsid w:val="62DE1671"/>
    <w:rsid w:val="62EC29D7"/>
    <w:rsid w:val="630006BE"/>
    <w:rsid w:val="64FE478A"/>
    <w:rsid w:val="66E20D05"/>
    <w:rsid w:val="672F6FF2"/>
    <w:rsid w:val="673821D5"/>
    <w:rsid w:val="68724A61"/>
    <w:rsid w:val="6B5061C0"/>
    <w:rsid w:val="6BD25004"/>
    <w:rsid w:val="6D9E4AC7"/>
    <w:rsid w:val="70B12FF8"/>
    <w:rsid w:val="717532B1"/>
    <w:rsid w:val="7245689C"/>
    <w:rsid w:val="747810AE"/>
    <w:rsid w:val="74AF53DC"/>
    <w:rsid w:val="7B270214"/>
    <w:rsid w:val="7B9854E0"/>
    <w:rsid w:val="7CFA128E"/>
    <w:rsid w:val="7DC048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qFormat="1" w:unhideWhenUsed="0" w:uiPriority="99"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99"/>
    <w:pPr>
      <w:spacing w:line="360" w:lineRule="auto"/>
    </w:pPr>
    <w:rPr>
      <w:rFonts w:ascii="Cambria" w:hAnsi="Arial" w:eastAsia="Cambria"/>
      <w:sz w:val="24"/>
      <w:szCs w:val="28"/>
    </w:rPr>
  </w:style>
  <w:style w:type="paragraph" w:customStyle="1" w:styleId="3">
    <w:name w:val="Default"/>
    <w:qFormat/>
    <w:uiPriority w:val="99"/>
    <w:pPr>
      <w:widowControl w:val="0"/>
      <w:autoSpaceDE w:val="0"/>
      <w:autoSpaceDN w:val="0"/>
      <w:adjustRightInd w:val="0"/>
    </w:pPr>
    <w:rPr>
      <w:rFonts w:ascii="宋体" w:hAnsi="宋体" w:eastAsia="宋体" w:cs="宋体"/>
      <w:color w:val="000000"/>
      <w:sz w:val="24"/>
      <w:szCs w:val="24"/>
      <w:lang w:val="en-US" w:eastAsia="zh-CN" w:bidi="ar-SA"/>
    </w:rPr>
  </w:style>
  <w:style w:type="paragraph" w:styleId="4">
    <w:name w:val="annotation text"/>
    <w:basedOn w:val="1"/>
    <w:qFormat/>
    <w:uiPriority w:val="0"/>
    <w:pPr>
      <w:jc w:val="left"/>
    </w:pPr>
  </w:style>
  <w:style w:type="paragraph" w:styleId="5">
    <w:name w:val="Body Text 3"/>
    <w:basedOn w:val="1"/>
    <w:qFormat/>
    <w:uiPriority w:val="99"/>
    <w:rPr>
      <w:rFonts w:ascii="Arial" w:cs="Times New Roman"/>
      <w:sz w:val="24"/>
      <w:szCs w:val="20"/>
    </w:rPr>
  </w:style>
  <w:style w:type="paragraph" w:styleId="6">
    <w:name w:val="Body Text Indent"/>
    <w:basedOn w:val="1"/>
    <w:next w:val="7"/>
    <w:qFormat/>
    <w:uiPriority w:val="99"/>
    <w:pPr>
      <w:spacing w:line="360" w:lineRule="auto"/>
      <w:ind w:firstLine="480" w:firstLineChars="200"/>
    </w:pPr>
    <w:rPr>
      <w:rFonts w:ascii="Arial"/>
      <w:sz w:val="24"/>
    </w:rPr>
  </w:style>
  <w:style w:type="paragraph" w:styleId="7">
    <w:name w:val="envelope return"/>
    <w:basedOn w:val="1"/>
    <w:qFormat/>
    <w:uiPriority w:val="0"/>
    <w:pPr>
      <w:snapToGrid w:val="0"/>
      <w:jc w:val="both"/>
    </w:pPr>
    <w:rPr>
      <w:rFonts w:ascii="Arial" w:hAnsi="Arial" w:eastAsia="宋体" w:cs="Arial"/>
      <w:b/>
      <w:bCs/>
      <w:color w:val="FF0000"/>
      <w:kern w:val="2"/>
      <w:sz w:val="48"/>
      <w:szCs w:val="24"/>
      <w:lang w:eastAsia="zh-CN"/>
    </w:rPr>
  </w:style>
  <w:style w:type="paragraph" w:styleId="8">
    <w:name w:val="footer"/>
    <w:basedOn w:val="1"/>
    <w:unhideWhenUsed/>
    <w:qFormat/>
    <w:uiPriority w:val="99"/>
    <w:pPr>
      <w:tabs>
        <w:tab w:val="center" w:pos="4153"/>
        <w:tab w:val="right" w:pos="8306"/>
      </w:tabs>
      <w:snapToGrid w:val="0"/>
      <w:jc w:val="left"/>
    </w:pPr>
    <w:rPr>
      <w:sz w:val="18"/>
      <w:szCs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Body Text First Indent 2"/>
    <w:basedOn w:val="6"/>
    <w:qFormat/>
    <w:uiPriority w:val="0"/>
    <w:pPr>
      <w:widowControl w:val="0"/>
      <w:adjustRightInd w:val="0"/>
      <w:spacing w:after="120" w:line="312" w:lineRule="atLeast"/>
      <w:ind w:left="420" w:leftChars="200" w:firstLine="420" w:firstLineChars="200"/>
      <w:jc w:val="both"/>
      <w:textAlignment w:val="baseline"/>
    </w:pPr>
    <w:rPr>
      <w:rFonts w:ascii="Times New Roman" w:hAnsi="Times New Roman" w:eastAsia="宋体" w:cs="Times New Roman"/>
      <w:kern w:val="0"/>
      <w:sz w:val="21"/>
      <w:szCs w:val="20"/>
      <w:lang w:val="en-US" w:eastAsia="zh-CN" w:bidi="ar-SA"/>
    </w:rPr>
  </w:style>
  <w:style w:type="paragraph" w:customStyle="1" w:styleId="13">
    <w:name w:val="UserStyle_0"/>
    <w:basedOn w:val="1"/>
    <w:next w:val="1"/>
    <w:autoRedefine/>
    <w:qFormat/>
    <w:uiPriority w:val="0"/>
    <w:pPr>
      <w:keepNext/>
      <w:keepLines/>
      <w:suppressAutoHyphens/>
      <w:spacing w:before="260" w:after="260" w:line="415" w:lineRule="auto"/>
      <w:jc w:val="both"/>
      <w:textAlignment w:val="baseline"/>
    </w:pPr>
    <w:rPr>
      <w:rFonts w:ascii="Arial" w:hAnsi="Arial" w:eastAsia="黑体"/>
      <w:b/>
      <w:kern w:val="2"/>
      <w:sz w:val="32"/>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841</Words>
  <Characters>878</Characters>
  <Lines>0</Lines>
  <Paragraphs>0</Paragraphs>
  <TotalTime>76</TotalTime>
  <ScaleCrop>false</ScaleCrop>
  <LinksUpToDate>false</LinksUpToDate>
  <CharactersWithSpaces>915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2025-12-31T06:20:00Z</dcterms:created>
  <dc:creator>Administrator</dc:creator>
  <cp:lastModifiedBy>恒雨</cp:lastModifiedBy>
  <dcterms:modified xsi:type="dcterms:W3CDTF">2026-05-12T02:32:49Z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eyJoZGlkIjoiOGQ1MGFjYzg1MzY1MWE5M2E2NzkzMjk0YWE2NmJlMmMiLCJ1c2VySWQiOiIzNDk5OTczNDgifQ==</vt:lpwstr>
  </property>
  <property fmtid="{D5CDD505-2E9C-101B-9397-08002B2CF9AE}" pid="4" name="ICV">
    <vt:lpwstr>1E228AEEC73F4465902E7524F739A41B_13</vt:lpwstr>
  </property>
</Properties>
</file>